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E57570" w:rsidR="000607E5" w:rsidP="000607E5" w:rsidRDefault="007F586C" w14:paraId="0DFAE634" wp14:textId="77777777">
      <w:pPr>
        <w:jc w:val="center"/>
        <w:rPr>
          <w:rFonts w:cs="Calibri"/>
          <w:b/>
          <w:bCs/>
        </w:rPr>
      </w:pPr>
      <w:r w:rsidRPr="00E57570">
        <w:rPr>
          <w:rFonts w:cs="Calibri"/>
          <w:noProof/>
        </w:rPr>
        <w:drawing>
          <wp:inline xmlns:wp14="http://schemas.microsoft.com/office/word/2010/wordprocessingDrawing" distT="0" distB="0" distL="0" distR="0" wp14:anchorId="0696240E" wp14:editId="3FD1AF79">
            <wp:extent cx="2609631" cy="120586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4150" cy="1217195"/>
                    </a:xfrm>
                    <a:prstGeom prst="rect">
                      <a:avLst/>
                    </a:prstGeom>
                    <a:noFill/>
                    <a:ln>
                      <a:noFill/>
                    </a:ln>
                  </pic:spPr>
                </pic:pic>
              </a:graphicData>
            </a:graphic>
          </wp:inline>
        </w:drawing>
      </w:r>
      <w:r w:rsidRPr="00E57570" w:rsidR="000607E5">
        <w:rPr>
          <w:rFonts w:cs="Calibri"/>
          <w:b/>
          <w:bCs/>
        </w:rPr>
        <w:t xml:space="preserve">  </w:t>
      </w:r>
    </w:p>
    <w:p xmlns:wp14="http://schemas.microsoft.com/office/word/2010/wordml" w:rsidRPr="00E57570" w:rsidR="38FFCBA2" w:rsidP="000607E5" w:rsidRDefault="000607E5" w14:paraId="5812492D" wp14:textId="77777777">
      <w:pPr>
        <w:jc w:val="center"/>
        <w:rPr>
          <w:rFonts w:cs="Calibri"/>
        </w:rPr>
      </w:pPr>
      <w:r w:rsidRPr="00E57570">
        <w:rPr>
          <w:rFonts w:cs="Calibri"/>
          <w:b/>
          <w:bCs/>
        </w:rPr>
        <w:t xml:space="preserve">       </w:t>
      </w:r>
      <w:r w:rsidRPr="00E57570" w:rsidR="00EA1E2F">
        <w:rPr>
          <w:rFonts w:cs="Calibri"/>
          <w:b/>
          <w:bCs/>
        </w:rPr>
        <w:t>Maths</w:t>
      </w:r>
      <w:r w:rsidRPr="00E57570" w:rsidR="38FFCBA2">
        <w:rPr>
          <w:rFonts w:cs="Calibri"/>
          <w:b/>
          <w:bCs/>
        </w:rPr>
        <w:t xml:space="preserve"> Curriculum Statement</w:t>
      </w:r>
    </w:p>
    <w:p xmlns:wp14="http://schemas.microsoft.com/office/word/2010/wordml" w:rsidRPr="00E57570" w:rsidR="38FFCBA2" w:rsidP="38FFCBA2" w:rsidRDefault="38FFCBA2" w14:paraId="672A6659" wp14:textId="77777777">
      <w:pPr>
        <w:widowControl w:val="0"/>
        <w:spacing w:before="80" w:after="0" w:line="240" w:lineRule="auto"/>
        <w:outlineLvl w:val="2"/>
        <w:rPr>
          <w:rFonts w:eastAsia="Century Gothic" w:cs="Calibri"/>
          <w:b/>
          <w:bCs/>
          <w:color w:val="000000" w:themeColor="text1"/>
          <w:lang w:eastAsia="en-GB" w:bidi="en-GB"/>
        </w:rPr>
      </w:pPr>
    </w:p>
    <w:p xmlns:wp14="http://schemas.microsoft.com/office/word/2010/wordml" w:rsidRPr="00E57570" w:rsidR="00C5768E" w:rsidP="5DB8F748" w:rsidRDefault="00C5768E" w14:paraId="440A1B4A" wp14:textId="77777777">
      <w:pPr>
        <w:widowControl w:val="0"/>
        <w:autoSpaceDE w:val="0"/>
        <w:autoSpaceDN w:val="0"/>
        <w:spacing w:before="80" w:after="0" w:line="240" w:lineRule="auto"/>
        <w:outlineLvl w:val="2"/>
        <w:rPr>
          <w:rFonts w:eastAsia="Century Gothic" w:cs="Calibri"/>
          <w:b/>
          <w:bCs/>
          <w:color w:val="000000" w:themeColor="text1"/>
          <w:lang w:eastAsia="en-GB" w:bidi="en-GB"/>
        </w:rPr>
      </w:pPr>
      <w:r w:rsidRPr="00E57570">
        <w:rPr>
          <w:rFonts w:eastAsia="Century Gothic" w:cs="Calibri"/>
          <w:b/>
          <w:bCs/>
          <w:color w:val="000000" w:themeColor="text1"/>
          <w:lang w:eastAsia="en-GB" w:bidi="en-GB"/>
        </w:rPr>
        <w:t xml:space="preserve">What Is Our Vision for </w:t>
      </w:r>
      <w:r w:rsidRPr="00E57570" w:rsidR="00EA1E2F">
        <w:rPr>
          <w:rFonts w:eastAsia="Century Gothic" w:cs="Calibri"/>
          <w:b/>
          <w:bCs/>
          <w:color w:val="000000" w:themeColor="text1"/>
          <w:lang w:eastAsia="en-GB" w:bidi="en-GB"/>
        </w:rPr>
        <w:t>Maths at North Star 82</w:t>
      </w:r>
      <w:r w:rsidRPr="00E57570">
        <w:rPr>
          <w:rFonts w:eastAsia="Century Gothic" w:cs="Calibri"/>
          <w:b/>
          <w:bCs/>
          <w:color w:val="000000" w:themeColor="text1"/>
          <w:lang w:eastAsia="en-GB" w:bidi="en-GB"/>
        </w:rPr>
        <w:t>?</w:t>
      </w:r>
    </w:p>
    <w:p xmlns:wp14="http://schemas.microsoft.com/office/word/2010/wordml" w:rsidRPr="00E57570" w:rsidR="00E57570" w:rsidP="5DB8F748" w:rsidRDefault="00E57570" w14:paraId="0A37501D" wp14:textId="77777777">
      <w:pPr>
        <w:widowControl w:val="0"/>
        <w:autoSpaceDE w:val="0"/>
        <w:autoSpaceDN w:val="0"/>
        <w:spacing w:before="80" w:after="0" w:line="240" w:lineRule="auto"/>
        <w:outlineLvl w:val="2"/>
        <w:rPr>
          <w:rFonts w:eastAsia="Century Gothic" w:cs="Calibri"/>
          <w:b/>
          <w:bCs/>
          <w:color w:val="000000" w:themeColor="text1"/>
          <w:lang w:eastAsia="en-GB" w:bidi="en-GB"/>
        </w:rPr>
      </w:pPr>
    </w:p>
    <w:p xmlns:wp14="http://schemas.microsoft.com/office/word/2010/wordml" w:rsidR="00E57570" w:rsidP="00E57570" w:rsidRDefault="001A5C6B" w14:paraId="55B37B98" wp14:textId="77777777">
      <w:r w:rsidRPr="00E57570">
        <w:t xml:space="preserve">Mathematics is a fundamental part of education at North Star 82, providing pupils with essential problem-solving skills and logical reasoning. The daily encounter with maths, whether through structured lessons or practical application in the community, is crucial for developing numeracy. This not only prepares children for the mathematical challenges of daily life but also enriches their understanding of the world around them. </w:t>
      </w:r>
      <w:r w:rsidRPr="00E57570" w:rsidR="002F65E4">
        <w:t xml:space="preserve">The programme, White Rose Maths, follows a </w:t>
      </w:r>
      <w:r w:rsidRPr="00E57570">
        <w:t>structured approach that support</w:t>
      </w:r>
      <w:r w:rsidRPr="00E57570" w:rsidR="002F65E4">
        <w:t>s</w:t>
      </w:r>
      <w:r w:rsidRPr="00E57570">
        <w:t xml:space="preserve"> the development of a deep understanding of mathematical concepts, fostering a positive attitude towards learning and an appreciation for the value of maths in everyday life.</w:t>
      </w:r>
    </w:p>
    <w:p xmlns:wp14="http://schemas.microsoft.com/office/word/2010/wordml" w:rsidRPr="00E57570" w:rsidR="00E57570" w:rsidP="00E57570" w:rsidRDefault="00E57570" w14:paraId="5DAB6C7B" wp14:textId="77777777">
      <w:bookmarkStart w:name="_GoBack" w:id="0"/>
      <w:bookmarkEnd w:id="0"/>
    </w:p>
    <w:tbl>
      <w:tblPr>
        <w:tblpPr w:leftFromText="180" w:rightFromText="45"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466"/>
      </w:tblGrid>
      <w:tr xmlns:wp14="http://schemas.microsoft.com/office/word/2010/wordml" w:rsidRPr="00E57570" w:rsidR="00EA1E2F" w:rsidTr="31A05459" w14:paraId="480EBFE2" wp14:textId="77777777">
        <w:tc>
          <w:tcPr>
            <w:tcW w:w="15015" w:type="dxa"/>
            <w:shd w:val="clear" w:color="auto" w:fill="FFFFFF" w:themeFill="background1"/>
            <w:tcMar>
              <w:top w:w="0" w:type="dxa"/>
              <w:left w:w="105" w:type="dxa"/>
              <w:bottom w:w="0" w:type="dxa"/>
              <w:right w:w="105" w:type="dxa"/>
            </w:tcMar>
            <w:hideMark/>
          </w:tcPr>
          <w:p w:rsidRPr="00E57570" w:rsidR="00EA1E2F" w:rsidP="00AF6D72" w:rsidRDefault="00EA1E2F" w14:paraId="68ADA175" wp14:textId="77777777">
            <w:pPr>
              <w:spacing w:after="0" w:line="240" w:lineRule="auto"/>
              <w:jc w:val="both"/>
              <w:textAlignment w:val="top"/>
              <w:rPr>
                <w:rFonts w:eastAsia="Times New Roman" w:cs="Calibri"/>
                <w:color w:val="000000"/>
                <w:lang w:eastAsia="en-GB"/>
              </w:rPr>
            </w:pPr>
            <w:r w:rsidRPr="00E57570">
              <w:rPr>
                <w:rFonts w:eastAsia="Times New Roman" w:cs="Calibri"/>
                <w:b/>
                <w:bCs/>
                <w:color w:val="000000"/>
                <w:bdr w:val="none" w:color="auto" w:sz="0" w:space="0" w:frame="1"/>
                <w:lang w:eastAsia="en-GB"/>
              </w:rPr>
              <w:t>Intent</w:t>
            </w:r>
          </w:p>
          <w:p w:rsidRPr="00E57570" w:rsidR="00EA1E2F" w:rsidP="00AF6D72" w:rsidRDefault="00EA1E2F" w14:paraId="6E7BEAA2"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w:t>
            </w:r>
          </w:p>
        </w:tc>
      </w:tr>
      <w:tr xmlns:wp14="http://schemas.microsoft.com/office/word/2010/wordml" w:rsidRPr="00E57570" w:rsidR="00EA1E2F" w:rsidTr="31A05459" w14:paraId="02EB378F" wp14:textId="77777777">
        <w:tc>
          <w:tcPr>
            <w:tcW w:w="15015" w:type="dxa"/>
            <w:shd w:val="clear" w:color="auto" w:fill="FFFFFF" w:themeFill="background1"/>
            <w:tcMar>
              <w:top w:w="0" w:type="dxa"/>
              <w:left w:w="105" w:type="dxa"/>
              <w:bottom w:w="0" w:type="dxa"/>
              <w:right w:w="105" w:type="dxa"/>
            </w:tcMar>
            <w:hideMark/>
          </w:tcPr>
          <w:p w:rsidRPr="00E57570" w:rsidR="00EA1E2F" w:rsidP="00AF6D72" w:rsidRDefault="00EA1E2F" w14:paraId="6A05A809" wp14:textId="77777777">
            <w:pPr>
              <w:spacing w:after="0" w:line="240" w:lineRule="auto"/>
              <w:jc w:val="both"/>
              <w:textAlignment w:val="top"/>
              <w:rPr>
                <w:rFonts w:eastAsia="Times New Roman" w:cs="Calibri"/>
                <w:color w:val="000000"/>
                <w:lang w:eastAsia="en-GB"/>
              </w:rPr>
            </w:pPr>
          </w:p>
        </w:tc>
      </w:tr>
      <w:tr xmlns:wp14="http://schemas.microsoft.com/office/word/2010/wordml" w:rsidRPr="00E57570" w:rsidR="00EA1E2F" w:rsidTr="31A05459" w14:paraId="6D8620B5" wp14:textId="77777777">
        <w:tc>
          <w:tcPr>
            <w:tcW w:w="15015" w:type="dxa"/>
            <w:shd w:val="clear" w:color="auto" w:fill="FFFFFF" w:themeFill="background1"/>
            <w:tcMar>
              <w:top w:w="0" w:type="dxa"/>
              <w:left w:w="105" w:type="dxa"/>
              <w:bottom w:w="0" w:type="dxa"/>
              <w:right w:w="105" w:type="dxa"/>
            </w:tcMar>
            <w:hideMark/>
          </w:tcPr>
          <w:p w:rsidRPr="00E57570" w:rsidR="00EA1E2F" w:rsidP="00AF6D72" w:rsidRDefault="00EA1E2F" w14:paraId="32D87B51" wp14:textId="77777777">
            <w:pPr>
              <w:spacing w:after="0" w:line="240" w:lineRule="auto"/>
              <w:jc w:val="both"/>
              <w:textAlignment w:val="top"/>
              <w:rPr>
                <w:rFonts w:eastAsia="Times New Roman" w:cs="Calibri"/>
                <w:b/>
                <w:bCs/>
                <w:color w:val="000000"/>
                <w:bdr w:val="none" w:color="auto" w:sz="0" w:space="0" w:frame="1"/>
                <w:lang w:eastAsia="en-GB"/>
              </w:rPr>
            </w:pPr>
            <w:r w:rsidRPr="00E57570">
              <w:rPr>
                <w:rFonts w:cs="Calibri"/>
                <w:color w:val="111111"/>
              </w:rPr>
              <w:t>At North Star 82, the intent for mathematics is to provide a </w:t>
            </w:r>
            <w:r w:rsidRPr="00E57570">
              <w:rPr>
                <w:rStyle w:val="Strong"/>
                <w:rFonts w:cs="Calibri"/>
                <w:b w:val="0"/>
                <w:color w:val="111111"/>
              </w:rPr>
              <w:t>rich, balanced, and progressive curriculum</w:t>
            </w:r>
            <w:r w:rsidRPr="00E57570">
              <w:rPr>
                <w:rFonts w:cs="Calibri"/>
                <w:b/>
                <w:color w:val="111111"/>
              </w:rPr>
              <w:t xml:space="preserve">. </w:t>
            </w:r>
            <w:r w:rsidRPr="00E57570">
              <w:rPr>
                <w:rFonts w:cs="Calibri"/>
                <w:color w:val="111111"/>
              </w:rPr>
              <w:t>This curriculum emphasi</w:t>
            </w:r>
            <w:r w:rsidRPr="00E57570" w:rsidR="002F65E4">
              <w:rPr>
                <w:rFonts w:cs="Calibri"/>
                <w:color w:val="111111"/>
              </w:rPr>
              <w:t>s</w:t>
            </w:r>
            <w:r w:rsidRPr="00E57570">
              <w:rPr>
                <w:rFonts w:cs="Calibri"/>
                <w:color w:val="111111"/>
              </w:rPr>
              <w:t>es using mathematics for</w:t>
            </w:r>
            <w:r w:rsidRPr="00E57570">
              <w:rPr>
                <w:rFonts w:cs="Calibri"/>
                <w:b/>
                <w:color w:val="111111"/>
              </w:rPr>
              <w:t> </w:t>
            </w:r>
            <w:r w:rsidRPr="00E57570">
              <w:rPr>
                <w:rStyle w:val="Strong"/>
                <w:rFonts w:cs="Calibri"/>
                <w:b w:val="0"/>
                <w:color w:val="111111"/>
              </w:rPr>
              <w:t>reasoning</w:t>
            </w:r>
            <w:r w:rsidRPr="00E57570">
              <w:rPr>
                <w:rFonts w:cs="Calibri"/>
                <w:b/>
                <w:color w:val="111111"/>
              </w:rPr>
              <w:t>, </w:t>
            </w:r>
            <w:r w:rsidRPr="00E57570">
              <w:rPr>
                <w:rStyle w:val="Strong"/>
                <w:rFonts w:cs="Calibri"/>
                <w:b w:val="0"/>
                <w:color w:val="111111"/>
              </w:rPr>
              <w:t>problem-solving</w:t>
            </w:r>
            <w:r w:rsidRPr="00E57570">
              <w:rPr>
                <w:rFonts w:cs="Calibri"/>
                <w:b/>
                <w:color w:val="111111"/>
              </w:rPr>
              <w:t xml:space="preserve">, </w:t>
            </w:r>
            <w:r w:rsidRPr="00E57570">
              <w:rPr>
                <w:rFonts w:cs="Calibri"/>
                <w:color w:val="111111"/>
              </w:rPr>
              <w:t>and developing</w:t>
            </w:r>
            <w:r w:rsidRPr="00E57570">
              <w:rPr>
                <w:rFonts w:cs="Calibri"/>
                <w:b/>
                <w:color w:val="111111"/>
              </w:rPr>
              <w:t> </w:t>
            </w:r>
            <w:r w:rsidRPr="00E57570">
              <w:rPr>
                <w:rStyle w:val="Strong"/>
                <w:rFonts w:cs="Calibri"/>
                <w:b w:val="0"/>
                <w:color w:val="111111"/>
              </w:rPr>
              <w:t>fluent conceptual understanding</w:t>
            </w:r>
            <w:r w:rsidRPr="00E57570">
              <w:rPr>
                <w:rFonts w:cs="Calibri"/>
                <w:b/>
                <w:color w:val="111111"/>
              </w:rPr>
              <w:t xml:space="preserve">. </w:t>
            </w:r>
            <w:r w:rsidRPr="00E57570">
              <w:rPr>
                <w:rFonts w:cs="Calibri"/>
                <w:color w:val="111111"/>
              </w:rPr>
              <w:t>By making connections between mathematics and everyday life, children can better make sense of the world around them. The curriculum is designed to be integrated across different areas, and its structure ensures clear progression. Teaching content in blocks allows children to explore skills and knowledge in depth, leading to a secure understanding of specific subject matter</w:t>
            </w:r>
            <w:r w:rsidRPr="00E57570" w:rsidR="002F65E4">
              <w:rPr>
                <w:rFonts w:cs="Calibri"/>
                <w:color w:val="111111"/>
              </w:rPr>
              <w:t>, with opportunities to further their knowledge of concepts and achieve mastery.</w:t>
            </w:r>
            <w:r w:rsidRPr="00E57570">
              <w:rPr>
                <w:rFonts w:cs="Calibri"/>
                <w:color w:val="111111"/>
              </w:rPr>
              <w:t xml:space="preserve"> Regular revisiting of key knowledge and skills reinforces learning through repetition. The concrete, pictorial, abstract approach provides a clear structure for children to develop a deep understanding of mathematical concepts. Overall, the goal is to present mathematics as a high-</w:t>
            </w:r>
            <w:r w:rsidRPr="00E57570" w:rsidR="002F65E4">
              <w:rPr>
                <w:rFonts w:cs="Calibri"/>
                <w:color w:val="111111"/>
              </w:rPr>
              <w:t xml:space="preserve">value </w:t>
            </w:r>
            <w:r w:rsidRPr="00E57570">
              <w:rPr>
                <w:rFonts w:cs="Calibri"/>
                <w:color w:val="111111"/>
              </w:rPr>
              <w:t xml:space="preserve">subject that children view positively with a </w:t>
            </w:r>
            <w:r w:rsidRPr="00E57570" w:rsidR="002F65E4">
              <w:rPr>
                <w:rFonts w:cs="Calibri"/>
                <w:color w:val="111111"/>
              </w:rPr>
              <w:t>resilient</w:t>
            </w:r>
            <w:r w:rsidRPr="00E57570">
              <w:rPr>
                <w:rFonts w:cs="Calibri"/>
                <w:color w:val="111111"/>
              </w:rPr>
              <w:t xml:space="preserve"> attitude.</w:t>
            </w:r>
          </w:p>
          <w:p w:rsidRPr="00E57570" w:rsidR="00EA1E2F" w:rsidP="00AF6D72" w:rsidRDefault="00EA1E2F" w14:paraId="5A39BBE3" wp14:textId="77777777">
            <w:pPr>
              <w:spacing w:after="0" w:line="240" w:lineRule="auto"/>
              <w:jc w:val="both"/>
              <w:textAlignment w:val="top"/>
              <w:rPr>
                <w:rFonts w:eastAsia="Times New Roman" w:cs="Calibri"/>
                <w:b/>
                <w:bCs/>
                <w:color w:val="000000"/>
                <w:bdr w:val="none" w:color="auto" w:sz="0" w:space="0" w:frame="1"/>
                <w:lang w:eastAsia="en-GB"/>
              </w:rPr>
            </w:pPr>
          </w:p>
          <w:p w:rsidRPr="00E57570" w:rsidR="00EA1E2F" w:rsidP="00AF6D72" w:rsidRDefault="00EA1E2F" w14:paraId="41C8F396" wp14:textId="77777777">
            <w:pPr>
              <w:spacing w:after="0" w:line="240" w:lineRule="auto"/>
              <w:jc w:val="both"/>
              <w:textAlignment w:val="top"/>
              <w:rPr>
                <w:rFonts w:eastAsia="Times New Roman" w:cs="Calibri"/>
                <w:b/>
                <w:bCs/>
                <w:color w:val="000000"/>
                <w:bdr w:val="none" w:color="auto" w:sz="0" w:space="0" w:frame="1"/>
                <w:lang w:eastAsia="en-GB"/>
              </w:rPr>
            </w:pPr>
          </w:p>
          <w:p w:rsidRPr="00E57570" w:rsidR="00EA1E2F" w:rsidP="00AF6D72" w:rsidRDefault="00EA1E2F" w14:paraId="1CB9EE18" wp14:textId="77777777">
            <w:pPr>
              <w:spacing w:after="0" w:line="240" w:lineRule="auto"/>
              <w:jc w:val="both"/>
              <w:textAlignment w:val="top"/>
              <w:rPr>
                <w:rFonts w:eastAsia="Times New Roman" w:cs="Calibri"/>
                <w:color w:val="000000"/>
                <w:lang w:eastAsia="en-GB"/>
              </w:rPr>
            </w:pPr>
            <w:r w:rsidRPr="00E57570">
              <w:rPr>
                <w:rFonts w:eastAsia="Times New Roman" w:cs="Calibri"/>
                <w:b/>
                <w:bCs/>
                <w:color w:val="000000"/>
                <w:bdr w:val="none" w:color="auto" w:sz="0" w:space="0" w:frame="1"/>
                <w:lang w:eastAsia="en-GB"/>
              </w:rPr>
              <w:t>Implementation</w:t>
            </w:r>
          </w:p>
          <w:p w:rsidRPr="00E57570" w:rsidR="00EA1E2F" w:rsidP="00AF6D72" w:rsidRDefault="00EA1E2F" w14:paraId="63E4A9CD"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w:t>
            </w:r>
          </w:p>
        </w:tc>
      </w:tr>
      <w:tr xmlns:wp14="http://schemas.microsoft.com/office/word/2010/wordml" w:rsidRPr="00E57570" w:rsidR="00EA1E2F" w:rsidTr="31A05459" w14:paraId="0FEE3886" wp14:textId="77777777">
        <w:tc>
          <w:tcPr>
            <w:tcW w:w="15015" w:type="dxa"/>
            <w:shd w:val="clear" w:color="auto" w:fill="FFFFFF" w:themeFill="background1"/>
            <w:tcMar>
              <w:top w:w="0" w:type="dxa"/>
              <w:left w:w="105" w:type="dxa"/>
              <w:bottom w:w="0" w:type="dxa"/>
              <w:right w:w="105" w:type="dxa"/>
            </w:tcMar>
            <w:hideMark/>
          </w:tcPr>
          <w:p w:rsidRPr="00E57570" w:rsidR="000607E5" w:rsidP="00AF6D72" w:rsidRDefault="00EA1E2F" w14:paraId="38B801D5"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xml:space="preserve">The North Star 82 curriculum exemplifies a dynamic approach to teaching mathematics, where continuous improvement and adaptability are at the forefront. By regularly updating the curriculum and providing high-quality Continuous Professional Development (CPD), teachers are equipped with the necessary skills and knowledge to deliver effective instruction. Our teachers share a passion for </w:t>
            </w:r>
            <w:proofErr w:type="spellStart"/>
            <w:r w:rsidRPr="00E57570">
              <w:rPr>
                <w:rFonts w:eastAsia="Times New Roman" w:cs="Calibri"/>
                <w:color w:val="000000"/>
                <w:lang w:eastAsia="en-GB"/>
              </w:rPr>
              <w:t>Rosenshine’s</w:t>
            </w:r>
            <w:proofErr w:type="spellEnd"/>
            <w:r w:rsidRPr="00E57570">
              <w:rPr>
                <w:rFonts w:eastAsia="Times New Roman" w:cs="Calibri"/>
                <w:color w:val="000000"/>
                <w:lang w:eastAsia="en-GB"/>
              </w:rPr>
              <w:t xml:space="preserve"> 10 Principles of Instruction and utilise these principles within their teaching, to foster a positive learning culture and embed mathematical retention for our pupils.  The curriculum's strength lies in </w:t>
            </w:r>
            <w:r w:rsidRPr="00E57570" w:rsidR="000607E5">
              <w:rPr>
                <w:rFonts w:eastAsia="Times New Roman" w:cs="Calibri"/>
                <w:color w:val="000000"/>
                <w:lang w:eastAsia="en-GB"/>
              </w:rPr>
              <w:t>its</w:t>
            </w:r>
            <w:r w:rsidRPr="00E57570">
              <w:rPr>
                <w:rFonts w:eastAsia="Times New Roman" w:cs="Calibri"/>
                <w:color w:val="000000"/>
                <w:lang w:eastAsia="en-GB"/>
              </w:rPr>
              <w:t xml:space="preserve"> comprehensive support system, encouraging staff to engage in ongoing learning and to seek further training proactively. This collaborative environment fosters the sharing of best practices, ensuring that all teaching strategies are informed by the latest educational insights. </w:t>
            </w:r>
          </w:p>
          <w:p w:rsidRPr="00E57570" w:rsidR="000607E5" w:rsidP="00AF6D72" w:rsidRDefault="00EA1E2F" w14:paraId="55BEB639"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xml:space="preserve">The curriculum's resource management ensures that pupils have access to top-tier learning materials, facilitating a seamless transition from concrete examples to abstract concepts. </w:t>
            </w:r>
          </w:p>
          <w:p w:rsidRPr="00E57570" w:rsidR="00EA1E2F" w:rsidP="00AF6D72" w:rsidRDefault="00EA1E2F" w14:paraId="458AB644" wp14:textId="1D3ADBF3">
            <w:pPr>
              <w:spacing w:after="0" w:line="240" w:lineRule="auto"/>
              <w:jc w:val="both"/>
              <w:textAlignment w:val="top"/>
              <w:rPr>
                <w:rFonts w:eastAsia="Times New Roman" w:cs="Calibri"/>
                <w:color w:val="000000"/>
                <w:lang w:eastAsia="en-GB"/>
              </w:rPr>
            </w:pPr>
            <w:r w:rsidRPr="31A05459" w:rsidR="00EA1E2F">
              <w:rPr>
                <w:rFonts w:eastAsia="Times New Roman" w:cs="Calibri"/>
                <w:color w:val="000000" w:themeColor="text1" w:themeTint="FF" w:themeShade="FF"/>
                <w:lang w:eastAsia="en-GB"/>
              </w:rPr>
              <w:t xml:space="preserve">The use of </w:t>
            </w:r>
            <w:r w:rsidRPr="31A05459" w:rsidR="002F65E4">
              <w:rPr>
                <w:rFonts w:eastAsia="Times New Roman" w:cs="Calibri"/>
                <w:color w:val="000000" w:themeColor="text1" w:themeTint="FF" w:themeShade="FF"/>
                <w:lang w:eastAsia="en-GB"/>
              </w:rPr>
              <w:t xml:space="preserve">the </w:t>
            </w:r>
            <w:r w:rsidRPr="31A05459" w:rsidR="00EA1E2F">
              <w:rPr>
                <w:rFonts w:eastAsia="Times New Roman" w:cs="Calibri"/>
                <w:color w:val="000000" w:themeColor="text1" w:themeTint="FF" w:themeShade="FF"/>
                <w:lang w:eastAsia="en-GB"/>
              </w:rPr>
              <w:t xml:space="preserve">White Rose </w:t>
            </w:r>
            <w:r w:rsidRPr="31A05459" w:rsidR="002F65E4">
              <w:rPr>
                <w:rFonts w:eastAsia="Times New Roman" w:cs="Calibri"/>
                <w:color w:val="000000" w:themeColor="text1" w:themeTint="FF" w:themeShade="FF"/>
                <w:lang w:eastAsia="en-GB"/>
              </w:rPr>
              <w:t xml:space="preserve">Maths programme, </w:t>
            </w:r>
            <w:r w:rsidRPr="31A05459" w:rsidR="46CEEACA">
              <w:rPr>
                <w:rFonts w:eastAsia="Times New Roman" w:cs="Calibri"/>
                <w:color w:val="000000" w:themeColor="text1" w:themeTint="FF" w:themeShade="FF"/>
                <w:lang w:eastAsia="en-GB"/>
              </w:rPr>
              <w:t xml:space="preserve">weekly active maths lessons, </w:t>
            </w:r>
            <w:r w:rsidRPr="31A05459" w:rsidR="002F65E4">
              <w:rPr>
                <w:rFonts w:eastAsia="Times New Roman" w:cs="Calibri"/>
                <w:color w:val="000000" w:themeColor="text1" w:themeTint="FF" w:themeShade="FF"/>
                <w:lang w:eastAsia="en-GB"/>
              </w:rPr>
              <w:t xml:space="preserve">digital resources </w:t>
            </w:r>
            <w:r w:rsidRPr="31A05459" w:rsidR="00EA1E2F">
              <w:rPr>
                <w:rFonts w:eastAsia="Times New Roman" w:cs="Calibri"/>
                <w:color w:val="000000" w:themeColor="text1" w:themeTint="FF" w:themeShade="FF"/>
                <w:lang w:eastAsia="en-GB"/>
              </w:rPr>
              <w:t xml:space="preserve">and the </w:t>
            </w:r>
            <w:r w:rsidRPr="31A05459" w:rsidR="000607E5">
              <w:rPr>
                <w:rFonts w:eastAsia="Times New Roman" w:cs="Calibri"/>
                <w:color w:val="000000" w:themeColor="text1" w:themeTint="FF" w:themeShade="FF"/>
                <w:lang w:eastAsia="en-GB"/>
              </w:rPr>
              <w:t xml:space="preserve">national </w:t>
            </w:r>
            <w:r w:rsidRPr="31A05459" w:rsidR="00EA1E2F">
              <w:rPr>
                <w:rFonts w:eastAsia="Times New Roman" w:cs="Calibri"/>
                <w:color w:val="000000" w:themeColor="text1" w:themeTint="FF" w:themeShade="FF"/>
                <w:lang w:eastAsia="en-GB"/>
              </w:rPr>
              <w:t xml:space="preserve">curriculum, offer a diverse educational experience. This multifaceted approach not only covers the key stages of mathematical understanding but also integrates all six areas of problem-solving, promoting fluency, analytical thinking, and reasoning across different learning </w:t>
            </w:r>
            <w:r w:rsidRPr="31A05459" w:rsidR="000607E5">
              <w:rPr>
                <w:rFonts w:eastAsia="Times New Roman" w:cs="Calibri"/>
                <w:color w:val="000000" w:themeColor="text1" w:themeTint="FF" w:themeShade="FF"/>
                <w:lang w:eastAsia="en-GB"/>
              </w:rPr>
              <w:t>experiences.</w:t>
            </w:r>
          </w:p>
          <w:p w:rsidRPr="00E57570" w:rsidR="00EA1E2F" w:rsidP="00AF6D72" w:rsidRDefault="00EA1E2F" w14:paraId="72A3D3EC" wp14:textId="77777777">
            <w:pPr>
              <w:spacing w:after="0" w:line="240" w:lineRule="auto"/>
              <w:jc w:val="both"/>
              <w:textAlignment w:val="top"/>
              <w:rPr>
                <w:rFonts w:eastAsia="Times New Roman" w:cs="Calibri"/>
                <w:color w:val="000000"/>
                <w:lang w:eastAsia="en-GB"/>
              </w:rPr>
            </w:pPr>
          </w:p>
          <w:p w:rsidRPr="00E57570" w:rsidR="000607E5" w:rsidP="00AF6D72" w:rsidRDefault="00EA1E2F" w14:paraId="3A126B9A"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xml:space="preserve">Our approach to mathematics education described emphasises a comprehensive understanding and application of </w:t>
            </w:r>
            <w:r w:rsidRPr="00E57570" w:rsidR="000607E5">
              <w:rPr>
                <w:rFonts w:eastAsia="Times New Roman" w:cs="Calibri"/>
                <w:color w:val="000000"/>
                <w:lang w:eastAsia="en-GB"/>
              </w:rPr>
              <w:t xml:space="preserve">key </w:t>
            </w:r>
            <w:r w:rsidRPr="00E57570">
              <w:rPr>
                <w:rFonts w:eastAsia="Times New Roman" w:cs="Calibri"/>
                <w:color w:val="000000"/>
                <w:lang w:eastAsia="en-GB"/>
              </w:rPr>
              <w:t xml:space="preserve">mathematical concepts. </w:t>
            </w:r>
          </w:p>
          <w:p w:rsidRPr="00E57570" w:rsidR="000607E5" w:rsidP="00AF6D72" w:rsidRDefault="00EA1E2F" w14:paraId="2DAA63A6"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xml:space="preserve">The use of pre and post unit assessments, along with termly assessments, allows our teachers to track the progression of their pupils' knowledge and skills effectively. </w:t>
            </w:r>
          </w:p>
          <w:p w:rsidRPr="00E57570" w:rsidR="000607E5" w:rsidP="00AF6D72" w:rsidRDefault="00EA1E2F" w14:paraId="462A3CF4" wp14:textId="77777777">
            <w:pPr>
              <w:spacing w:after="0" w:line="240" w:lineRule="auto"/>
              <w:jc w:val="both"/>
              <w:textAlignment w:val="top"/>
              <w:rPr>
                <w:rFonts w:eastAsia="Times New Roman" w:cs="Calibri"/>
                <w:color w:val="000000"/>
                <w:lang w:eastAsia="en-GB"/>
              </w:rPr>
            </w:pPr>
            <w:r w:rsidRPr="31A05459" w:rsidR="00EA1E2F">
              <w:rPr>
                <w:rFonts w:eastAsia="Times New Roman" w:cs="Calibri"/>
                <w:color w:val="000000" w:themeColor="text1" w:themeTint="FF" w:themeShade="FF"/>
                <w:lang w:eastAsia="en-GB"/>
              </w:rPr>
              <w:t xml:space="preserve">The consistent use of correct mathematical vocabulary by teachers, and the encouragement for pupils to do the same, fosters an environment where mathematical language becomes second nature. The strategic display of vocabulary on working walls reinforces this learning. </w:t>
            </w:r>
          </w:p>
          <w:p w:rsidR="49E6BF09" w:rsidP="31A05459" w:rsidRDefault="49E6BF09" w14:paraId="1FA2B1D7" w14:textId="4693256B">
            <w:pPr>
              <w:spacing w:after="0" w:line="240" w:lineRule="auto"/>
              <w:jc w:val="both"/>
              <w:rPr>
                <w:rFonts w:eastAsia="Times New Roman" w:cs="Calibri"/>
                <w:color w:val="000000" w:themeColor="text1" w:themeTint="FF" w:themeShade="FF"/>
                <w:lang w:eastAsia="en-GB"/>
              </w:rPr>
            </w:pPr>
            <w:r w:rsidRPr="31A05459" w:rsidR="49E6BF09">
              <w:rPr>
                <w:rFonts w:eastAsia="Times New Roman" w:cs="Calibri"/>
                <w:color w:val="000000" w:themeColor="text1" w:themeTint="FF" w:themeShade="FF"/>
                <w:lang w:eastAsia="en-GB"/>
              </w:rPr>
              <w:t>Active maths lessons which follow the white rose scheme of learning</w:t>
            </w:r>
            <w:r w:rsidRPr="31A05459" w:rsidR="3DE8B6B4">
              <w:rPr>
                <w:rFonts w:eastAsia="Times New Roman" w:cs="Calibri"/>
                <w:color w:val="000000" w:themeColor="text1" w:themeTint="FF" w:themeShade="FF"/>
                <w:lang w:eastAsia="en-GB"/>
              </w:rPr>
              <w:t xml:space="preserve"> use</w:t>
            </w:r>
            <w:r w:rsidRPr="31A05459" w:rsidR="49E6BF09">
              <w:rPr>
                <w:rFonts w:eastAsia="Times New Roman" w:cs="Calibri"/>
                <w:color w:val="000000" w:themeColor="text1" w:themeTint="FF" w:themeShade="FF"/>
                <w:lang w:eastAsia="en-GB"/>
              </w:rPr>
              <w:t xml:space="preserve"> </w:t>
            </w:r>
            <w:r w:rsidRPr="31A05459" w:rsidR="49E6BF09">
              <w:rPr>
                <w:rFonts w:eastAsia="Times New Roman" w:cs="Calibri"/>
                <w:color w:val="000000" w:themeColor="text1" w:themeTint="FF" w:themeShade="FF"/>
                <w:lang w:eastAsia="en-GB"/>
              </w:rPr>
              <w:t>physical activity and games to make learning math fun and engaging, boosting understanding, fluency, focus, and confidence,</w:t>
            </w:r>
            <w:r w:rsidRPr="31A05459" w:rsidR="49E6BF09">
              <w:rPr>
                <w:rFonts w:eastAsia="Times New Roman" w:cs="Calibri"/>
                <w:color w:val="000000" w:themeColor="text1" w:themeTint="FF" w:themeShade="FF"/>
                <w:lang w:eastAsia="en-GB"/>
              </w:rPr>
              <w:t xml:space="preserve"> especially for kids who struggle with traditional methods</w:t>
            </w:r>
            <w:r w:rsidRPr="31A05459" w:rsidR="3AC32CB5">
              <w:rPr>
                <w:rFonts w:eastAsia="Times New Roman" w:cs="Calibri"/>
                <w:color w:val="000000" w:themeColor="text1" w:themeTint="FF" w:themeShade="FF"/>
                <w:lang w:eastAsia="en-GB"/>
              </w:rPr>
              <w:t xml:space="preserve">, </w:t>
            </w:r>
            <w:r w:rsidRPr="31A05459" w:rsidR="49E6BF09">
              <w:rPr>
                <w:rFonts w:eastAsia="Times New Roman" w:cs="Calibri"/>
                <w:color w:val="000000" w:themeColor="text1" w:themeTint="FF" w:themeShade="FF"/>
                <w:lang w:eastAsia="en-GB"/>
              </w:rPr>
              <w:t>while also improving overall cognitive skills, motor skills,</w:t>
            </w:r>
            <w:r w:rsidRPr="31A05459" w:rsidR="1412CC9D">
              <w:rPr>
                <w:rFonts w:eastAsia="Times New Roman" w:cs="Calibri"/>
                <w:color w:val="000000" w:themeColor="text1" w:themeTint="FF" w:themeShade="FF"/>
                <w:lang w:eastAsia="en-GB"/>
              </w:rPr>
              <w:t xml:space="preserve"> life skills</w:t>
            </w:r>
            <w:r w:rsidRPr="31A05459" w:rsidR="49E6BF09">
              <w:rPr>
                <w:rFonts w:eastAsia="Times New Roman" w:cs="Calibri"/>
                <w:color w:val="000000" w:themeColor="text1" w:themeTint="FF" w:themeShade="FF"/>
                <w:lang w:eastAsia="en-GB"/>
              </w:rPr>
              <w:t xml:space="preserve"> and attitudes towards math.  </w:t>
            </w:r>
          </w:p>
          <w:p w:rsidRPr="00E57570" w:rsidR="000607E5" w:rsidP="00AF6D72" w:rsidRDefault="00EA1E2F" w14:paraId="79577284"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Interventions are thoughtfully scheduled for those needing extra help, while group support is a staple in regular lessons, ensuring that every child's needs are addressed. The development of fluency through practice and repetition of key skills</w:t>
            </w:r>
            <w:r w:rsidRPr="00E57570" w:rsidR="000607E5">
              <w:rPr>
                <w:rFonts w:eastAsia="Times New Roman" w:cs="Calibri"/>
                <w:color w:val="000000"/>
                <w:lang w:eastAsia="en-GB"/>
              </w:rPr>
              <w:t>, often centred around the 4 operations</w:t>
            </w:r>
            <w:r w:rsidRPr="00E57570">
              <w:rPr>
                <w:rFonts w:eastAsia="Times New Roman" w:cs="Calibri"/>
                <w:color w:val="000000"/>
                <w:lang w:eastAsia="en-GB"/>
              </w:rPr>
              <w:t>,</w:t>
            </w:r>
            <w:r w:rsidRPr="00E57570" w:rsidR="000607E5">
              <w:rPr>
                <w:rFonts w:eastAsia="Times New Roman" w:cs="Calibri"/>
                <w:color w:val="000000"/>
                <w:lang w:eastAsia="en-GB"/>
              </w:rPr>
              <w:t xml:space="preserve"> at the start of every lesson </w:t>
            </w:r>
            <w:r w:rsidRPr="00E57570">
              <w:rPr>
                <w:rFonts w:eastAsia="Times New Roman" w:cs="Calibri"/>
                <w:color w:val="000000"/>
                <w:lang w:eastAsia="en-GB"/>
              </w:rPr>
              <w:t>builds a strong foundation</w:t>
            </w:r>
            <w:r w:rsidRPr="00E57570" w:rsidR="000607E5">
              <w:rPr>
                <w:rFonts w:eastAsia="Times New Roman" w:cs="Calibri"/>
                <w:color w:val="000000"/>
                <w:lang w:eastAsia="en-GB"/>
              </w:rPr>
              <w:t xml:space="preserve"> for applying their skills to more complex problem solving and reasoning</w:t>
            </w:r>
            <w:r w:rsidRPr="00E57570">
              <w:rPr>
                <w:rFonts w:eastAsia="Times New Roman" w:cs="Calibri"/>
                <w:color w:val="000000"/>
                <w:lang w:eastAsia="en-GB"/>
              </w:rPr>
              <w:t xml:space="preserve">. Pupils are also taught to be discerning in their approach to problem-solving, with opportunities to estimate, calculate, and evaluate their methods. </w:t>
            </w:r>
          </w:p>
          <w:p w:rsidRPr="00E57570" w:rsidR="00EA1E2F" w:rsidP="00AF6D72" w:rsidRDefault="00EA1E2F" w14:paraId="1A3C62C7"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Feedback mechanisms are varied and informative, contributing to visible academic progress. The encouragement of discussion among peers and with teachers is a testament to the value placed on communication in learning. Varied task types cater to different learning styles across the school, with a particular focus on developing reasoning skills. Investigative tasks challenge pupils to explore, justify, and prove their thinking, promoting independence and resilience. This holistic approach not only equips pupils with mathematical proficiency but also prepares them to tackle challenges collaboratively and independently.</w:t>
            </w:r>
          </w:p>
          <w:p w:rsidRPr="00E57570" w:rsidR="00EA1E2F" w:rsidP="31A05459" w:rsidRDefault="00EA1E2F" w14:paraId="0E27B00A" wp14:textId="07E534C1">
            <w:pPr>
              <w:pStyle w:val="Normal"/>
              <w:spacing w:after="0" w:line="240" w:lineRule="auto"/>
              <w:jc w:val="both"/>
              <w:textAlignment w:val="top"/>
              <w:rPr>
                <w:rFonts w:eastAsia="Times New Roman" w:cs="Calibri"/>
                <w:color w:val="000000"/>
                <w:lang w:eastAsia="en-GB"/>
              </w:rPr>
            </w:pPr>
          </w:p>
        </w:tc>
      </w:tr>
      <w:tr xmlns:wp14="http://schemas.microsoft.com/office/word/2010/wordml" w:rsidRPr="00E57570" w:rsidR="00EA1E2F" w:rsidTr="31A05459" w14:paraId="5CB41A18" wp14:textId="77777777">
        <w:tc>
          <w:tcPr>
            <w:tcW w:w="15015" w:type="dxa"/>
            <w:shd w:val="clear" w:color="auto" w:fill="FFFFFF" w:themeFill="background1"/>
            <w:tcMar>
              <w:top w:w="0" w:type="dxa"/>
              <w:left w:w="105" w:type="dxa"/>
              <w:bottom w:w="0" w:type="dxa"/>
              <w:right w:w="105" w:type="dxa"/>
            </w:tcMar>
            <w:hideMark/>
          </w:tcPr>
          <w:p w:rsidRPr="00E57570" w:rsidR="00EA1E2F" w:rsidP="00AF6D72" w:rsidRDefault="00EA1E2F" w14:paraId="60061E4C" wp14:textId="77777777">
            <w:pPr>
              <w:spacing w:after="0" w:line="240" w:lineRule="auto"/>
              <w:jc w:val="both"/>
              <w:textAlignment w:val="top"/>
              <w:rPr>
                <w:rFonts w:eastAsia="Times New Roman" w:cs="Calibri"/>
                <w:b/>
                <w:bCs/>
                <w:color w:val="000000"/>
                <w:bdr w:val="none" w:color="auto" w:sz="0" w:space="0" w:frame="1"/>
                <w:lang w:eastAsia="en-GB"/>
              </w:rPr>
            </w:pPr>
          </w:p>
          <w:p w:rsidRPr="00E57570" w:rsidR="00EA1E2F" w:rsidP="00AF6D72" w:rsidRDefault="00EA1E2F" w14:paraId="0590C468" wp14:textId="77777777">
            <w:pPr>
              <w:spacing w:after="0" w:line="240" w:lineRule="auto"/>
              <w:jc w:val="both"/>
              <w:textAlignment w:val="top"/>
              <w:rPr>
                <w:rFonts w:eastAsia="Times New Roman" w:cs="Calibri"/>
                <w:b/>
                <w:bCs/>
                <w:color w:val="000000"/>
                <w:bdr w:val="none" w:color="auto" w:sz="0" w:space="0" w:frame="1"/>
                <w:lang w:eastAsia="en-GB"/>
              </w:rPr>
            </w:pPr>
            <w:r w:rsidRPr="00E57570">
              <w:rPr>
                <w:rFonts w:eastAsia="Times New Roman" w:cs="Calibri"/>
                <w:b/>
                <w:bCs/>
                <w:color w:val="000000"/>
                <w:bdr w:val="none" w:color="auto" w:sz="0" w:space="0" w:frame="1"/>
                <w:lang w:eastAsia="en-GB"/>
              </w:rPr>
              <w:t>Impact</w:t>
            </w:r>
          </w:p>
          <w:p w:rsidRPr="00E57570" w:rsidR="00EA1E2F" w:rsidP="00AF6D72" w:rsidRDefault="00EA1E2F" w14:paraId="44EAFD9C" wp14:textId="77777777">
            <w:pPr>
              <w:spacing w:after="0" w:line="240" w:lineRule="auto"/>
              <w:jc w:val="both"/>
              <w:textAlignment w:val="top"/>
              <w:rPr>
                <w:rFonts w:eastAsia="Times New Roman" w:cs="Calibri"/>
                <w:color w:val="000000"/>
                <w:lang w:eastAsia="en-GB"/>
              </w:rPr>
            </w:pPr>
          </w:p>
          <w:p w:rsidRPr="00E57570" w:rsidR="00EA1E2F" w:rsidP="00AF6D72" w:rsidRDefault="00EA1E2F" w14:paraId="1F456ABF" wp14:textId="77777777">
            <w:pPr>
              <w:jc w:val="both"/>
              <w:rPr>
                <w:rFonts w:cs="Calibri"/>
              </w:rPr>
            </w:pPr>
            <w:r w:rsidRPr="00E57570">
              <w:rPr>
                <w:rFonts w:cs="Calibri"/>
              </w:rPr>
              <w:t>The North Star 82 mathematics curriculum is a shining example of how education can be transformative when it aligns with real-world applications. By emphasising the practicality of mathematics in everyday life, it not only enhances children's understanding but also fosters a lifelong appreciation for the subject. The curriculum's focus on creating an engaging and supportive learning environment</w:t>
            </w:r>
            <w:r w:rsidRPr="00E57570" w:rsidR="000607E5">
              <w:rPr>
                <w:rFonts w:cs="Calibri"/>
              </w:rPr>
              <w:t>,</w:t>
            </w:r>
            <w:r w:rsidRPr="00E57570">
              <w:rPr>
                <w:rFonts w:cs="Calibri"/>
              </w:rPr>
              <w:t xml:space="preserve"> allows pupils to explore mathematical concepts with curiosity and confidence. Encouraging the acceptance of mistakes as a natural part of the learning process is particularly commendable, as it builds resilience and a growth mindset. The curriculum's comprehensive approach, which includes fluency, reasoning, and problem-solving, ensures that pupils develop a robust mathematical foundation. The pride that pupils take in their work and the high standards maintained by the school are testament to the curriculum's effectiveness. Such an approach not only prepares pupils to excel academically but also equips them with the</w:t>
            </w:r>
            <w:r w:rsidRPr="00E57570" w:rsidR="000607E5">
              <w:rPr>
                <w:rFonts w:cs="Calibri"/>
              </w:rPr>
              <w:t xml:space="preserve"> key operational skills and</w:t>
            </w:r>
            <w:r w:rsidRPr="00E57570">
              <w:rPr>
                <w:rFonts w:cs="Calibri"/>
              </w:rPr>
              <w:t xml:space="preserve"> critical thinking skills necessary to navigate the complexities of the modern world.</w:t>
            </w:r>
          </w:p>
          <w:p w:rsidRPr="00E57570" w:rsidR="00EA1E2F" w:rsidP="00AF6D72" w:rsidRDefault="00EA1E2F" w14:paraId="4B94D5A5" wp14:textId="77777777">
            <w:pPr>
              <w:spacing w:after="0" w:line="240" w:lineRule="auto"/>
              <w:jc w:val="both"/>
              <w:textAlignment w:val="top"/>
              <w:rPr>
                <w:rFonts w:eastAsia="Times New Roman" w:cs="Calibri"/>
                <w:color w:val="000000"/>
                <w:lang w:eastAsia="en-GB"/>
              </w:rPr>
            </w:pPr>
          </w:p>
          <w:p w:rsidRPr="00E57570" w:rsidR="00EA1E2F" w:rsidP="00AF6D72" w:rsidRDefault="00EA1E2F" w14:paraId="4F6584BE" wp14:textId="77777777">
            <w:pPr>
              <w:spacing w:after="0" w:line="240" w:lineRule="auto"/>
              <w:jc w:val="both"/>
              <w:textAlignment w:val="top"/>
              <w:rPr>
                <w:rFonts w:eastAsia="Times New Roman" w:cs="Calibri"/>
                <w:color w:val="000000"/>
                <w:lang w:eastAsia="en-GB"/>
              </w:rPr>
            </w:pPr>
            <w:r w:rsidRPr="00E57570">
              <w:rPr>
                <w:rFonts w:eastAsia="Times New Roman" w:cs="Calibri"/>
                <w:color w:val="000000"/>
                <w:lang w:eastAsia="en-GB"/>
              </w:rPr>
              <w:t> </w:t>
            </w:r>
          </w:p>
        </w:tc>
      </w:tr>
    </w:tbl>
    <w:p xmlns:wp14="http://schemas.microsoft.com/office/word/2010/wordml" w:rsidRPr="00E57570" w:rsidR="005F6524" w:rsidP="003819D1" w:rsidRDefault="005F6524" w14:paraId="3DEEC669" wp14:textId="77777777">
      <w:pPr>
        <w:widowControl w:val="0"/>
        <w:autoSpaceDE w:val="0"/>
        <w:autoSpaceDN w:val="0"/>
        <w:spacing w:before="10" w:after="0" w:line="240" w:lineRule="auto"/>
        <w:rPr>
          <w:rFonts w:eastAsia="Times New Roman" w:cs="Calibri"/>
          <w:color w:val="000000" w:themeColor="text1"/>
          <w:lang w:eastAsia="en-GB"/>
        </w:rPr>
      </w:pPr>
    </w:p>
    <w:sectPr w:rsidRPr="00E57570" w:rsidR="005F6524" w:rsidSect="00C5768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42F"/>
    <w:multiLevelType w:val="multilevel"/>
    <w:tmpl w:val="095A2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685300"/>
    <w:multiLevelType w:val="hybridMultilevel"/>
    <w:tmpl w:val="462A4DBE"/>
    <w:lvl w:ilvl="0" w:tplc="10A87680">
      <w:numFmt w:val="bullet"/>
      <w:lvlText w:val=""/>
      <w:lvlJc w:val="left"/>
      <w:pPr>
        <w:ind w:left="361" w:hanging="361"/>
      </w:pPr>
      <w:rPr>
        <w:rFonts w:hint="default" w:ascii="Symbol" w:hAnsi="Symbol" w:eastAsia="Symbol" w:cs="Symbol"/>
        <w:w w:val="100"/>
        <w:sz w:val="22"/>
        <w:szCs w:val="22"/>
        <w:lang w:val="en-GB" w:eastAsia="en-GB" w:bidi="en-GB"/>
      </w:rPr>
    </w:lvl>
    <w:lvl w:ilvl="1" w:tplc="8EF830AC">
      <w:numFmt w:val="bullet"/>
      <w:lvlText w:val=""/>
      <w:lvlJc w:val="left"/>
      <w:pPr>
        <w:ind w:left="720" w:hanging="361"/>
      </w:pPr>
      <w:rPr>
        <w:rFonts w:hint="default" w:ascii="Symbol" w:hAnsi="Symbol" w:eastAsia="Symbol" w:cs="Symbol"/>
        <w:w w:val="100"/>
        <w:sz w:val="22"/>
        <w:szCs w:val="22"/>
        <w:lang w:val="en-GB" w:eastAsia="en-GB" w:bidi="en-GB"/>
      </w:rPr>
    </w:lvl>
    <w:lvl w:ilvl="2" w:tplc="B4F0CD88">
      <w:numFmt w:val="bullet"/>
      <w:lvlText w:val="•"/>
      <w:lvlJc w:val="left"/>
      <w:pPr>
        <w:ind w:left="1651" w:hanging="361"/>
      </w:pPr>
      <w:rPr>
        <w:rFonts w:hint="default"/>
        <w:lang w:val="en-GB" w:eastAsia="en-GB" w:bidi="en-GB"/>
      </w:rPr>
    </w:lvl>
    <w:lvl w:ilvl="3" w:tplc="4F085048">
      <w:numFmt w:val="bullet"/>
      <w:lvlText w:val="•"/>
      <w:lvlJc w:val="left"/>
      <w:pPr>
        <w:ind w:left="2583" w:hanging="361"/>
      </w:pPr>
      <w:rPr>
        <w:rFonts w:hint="default"/>
        <w:lang w:val="en-GB" w:eastAsia="en-GB" w:bidi="en-GB"/>
      </w:rPr>
    </w:lvl>
    <w:lvl w:ilvl="4" w:tplc="6088A17E">
      <w:numFmt w:val="bullet"/>
      <w:lvlText w:val="•"/>
      <w:lvlJc w:val="left"/>
      <w:pPr>
        <w:ind w:left="3515" w:hanging="361"/>
      </w:pPr>
      <w:rPr>
        <w:rFonts w:hint="default"/>
        <w:lang w:val="en-GB" w:eastAsia="en-GB" w:bidi="en-GB"/>
      </w:rPr>
    </w:lvl>
    <w:lvl w:ilvl="5" w:tplc="0D0CE48C">
      <w:numFmt w:val="bullet"/>
      <w:lvlText w:val="•"/>
      <w:lvlJc w:val="left"/>
      <w:pPr>
        <w:ind w:left="4447" w:hanging="361"/>
      </w:pPr>
      <w:rPr>
        <w:rFonts w:hint="default"/>
        <w:lang w:val="en-GB" w:eastAsia="en-GB" w:bidi="en-GB"/>
      </w:rPr>
    </w:lvl>
    <w:lvl w:ilvl="6" w:tplc="85BCE004">
      <w:numFmt w:val="bullet"/>
      <w:lvlText w:val="•"/>
      <w:lvlJc w:val="left"/>
      <w:pPr>
        <w:ind w:left="5379" w:hanging="361"/>
      </w:pPr>
      <w:rPr>
        <w:rFonts w:hint="default"/>
        <w:lang w:val="en-GB" w:eastAsia="en-GB" w:bidi="en-GB"/>
      </w:rPr>
    </w:lvl>
    <w:lvl w:ilvl="7" w:tplc="7E760562">
      <w:numFmt w:val="bullet"/>
      <w:lvlText w:val="•"/>
      <w:lvlJc w:val="left"/>
      <w:pPr>
        <w:ind w:left="6310" w:hanging="361"/>
      </w:pPr>
      <w:rPr>
        <w:rFonts w:hint="default"/>
        <w:lang w:val="en-GB" w:eastAsia="en-GB" w:bidi="en-GB"/>
      </w:rPr>
    </w:lvl>
    <w:lvl w:ilvl="8" w:tplc="C2584C04">
      <w:numFmt w:val="bullet"/>
      <w:lvlText w:val="•"/>
      <w:lvlJc w:val="left"/>
      <w:pPr>
        <w:ind w:left="7242" w:hanging="361"/>
      </w:pPr>
      <w:rPr>
        <w:rFonts w:hint="default"/>
        <w:lang w:val="en-GB" w:eastAsia="en-GB" w:bidi="en-GB"/>
      </w:rPr>
    </w:lvl>
  </w:abstractNum>
  <w:abstractNum w:abstractNumId="2" w15:restartNumberingAfterBreak="0">
    <w:nsid w:val="1B9A2680"/>
    <w:multiLevelType w:val="multilevel"/>
    <w:tmpl w:val="5874D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E2316C"/>
    <w:multiLevelType w:val="multilevel"/>
    <w:tmpl w:val="53A40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2BD1B20"/>
    <w:multiLevelType w:val="hybridMultilevel"/>
    <w:tmpl w:val="8B747478"/>
    <w:lvl w:ilvl="0" w:tplc="C128C61A">
      <w:start w:val="1"/>
      <w:numFmt w:val="bullet"/>
      <w:lvlText w:val=""/>
      <w:lvlJc w:val="left"/>
      <w:pPr>
        <w:ind w:left="720" w:hanging="360"/>
      </w:pPr>
      <w:rPr>
        <w:rFonts w:hint="default" w:ascii="Symbol" w:hAnsi="Symbol"/>
      </w:rPr>
    </w:lvl>
    <w:lvl w:ilvl="1" w:tplc="8A36B900">
      <w:start w:val="1"/>
      <w:numFmt w:val="bullet"/>
      <w:lvlText w:val="o"/>
      <w:lvlJc w:val="left"/>
      <w:pPr>
        <w:ind w:left="1440" w:hanging="360"/>
      </w:pPr>
      <w:rPr>
        <w:rFonts w:hint="default" w:ascii="Courier New" w:hAnsi="Courier New"/>
      </w:rPr>
    </w:lvl>
    <w:lvl w:ilvl="2" w:tplc="BB74DB2E">
      <w:start w:val="1"/>
      <w:numFmt w:val="bullet"/>
      <w:lvlText w:val=""/>
      <w:lvlJc w:val="left"/>
      <w:pPr>
        <w:ind w:left="2160" w:hanging="360"/>
      </w:pPr>
      <w:rPr>
        <w:rFonts w:hint="default" w:ascii="Wingdings" w:hAnsi="Wingdings"/>
      </w:rPr>
    </w:lvl>
    <w:lvl w:ilvl="3" w:tplc="FF2CE226">
      <w:start w:val="1"/>
      <w:numFmt w:val="bullet"/>
      <w:lvlText w:val=""/>
      <w:lvlJc w:val="left"/>
      <w:pPr>
        <w:ind w:left="2880" w:hanging="360"/>
      </w:pPr>
      <w:rPr>
        <w:rFonts w:hint="default" w:ascii="Symbol" w:hAnsi="Symbol"/>
      </w:rPr>
    </w:lvl>
    <w:lvl w:ilvl="4" w:tplc="8F6E0ABA">
      <w:start w:val="1"/>
      <w:numFmt w:val="bullet"/>
      <w:lvlText w:val="o"/>
      <w:lvlJc w:val="left"/>
      <w:pPr>
        <w:ind w:left="3600" w:hanging="360"/>
      </w:pPr>
      <w:rPr>
        <w:rFonts w:hint="default" w:ascii="Courier New" w:hAnsi="Courier New"/>
      </w:rPr>
    </w:lvl>
    <w:lvl w:ilvl="5" w:tplc="FE521DD8">
      <w:start w:val="1"/>
      <w:numFmt w:val="bullet"/>
      <w:lvlText w:val=""/>
      <w:lvlJc w:val="left"/>
      <w:pPr>
        <w:ind w:left="4320" w:hanging="360"/>
      </w:pPr>
      <w:rPr>
        <w:rFonts w:hint="default" w:ascii="Wingdings" w:hAnsi="Wingdings"/>
      </w:rPr>
    </w:lvl>
    <w:lvl w:ilvl="6" w:tplc="4A587626">
      <w:start w:val="1"/>
      <w:numFmt w:val="bullet"/>
      <w:lvlText w:val=""/>
      <w:lvlJc w:val="left"/>
      <w:pPr>
        <w:ind w:left="5040" w:hanging="360"/>
      </w:pPr>
      <w:rPr>
        <w:rFonts w:hint="default" w:ascii="Symbol" w:hAnsi="Symbol"/>
      </w:rPr>
    </w:lvl>
    <w:lvl w:ilvl="7" w:tplc="F78A34E6">
      <w:start w:val="1"/>
      <w:numFmt w:val="bullet"/>
      <w:lvlText w:val="o"/>
      <w:lvlJc w:val="left"/>
      <w:pPr>
        <w:ind w:left="5760" w:hanging="360"/>
      </w:pPr>
      <w:rPr>
        <w:rFonts w:hint="default" w:ascii="Courier New" w:hAnsi="Courier New"/>
      </w:rPr>
    </w:lvl>
    <w:lvl w:ilvl="8" w:tplc="B7D85B4A">
      <w:start w:val="1"/>
      <w:numFmt w:val="bullet"/>
      <w:lvlText w:val=""/>
      <w:lvlJc w:val="left"/>
      <w:pPr>
        <w:ind w:left="6480" w:hanging="360"/>
      </w:pPr>
      <w:rPr>
        <w:rFonts w:hint="default" w:ascii="Wingdings" w:hAnsi="Wingdings"/>
      </w:rPr>
    </w:lvl>
  </w:abstractNum>
  <w:abstractNum w:abstractNumId="5" w15:restartNumberingAfterBreak="0">
    <w:nsid w:val="4BD602C4"/>
    <w:multiLevelType w:val="hybridMultilevel"/>
    <w:tmpl w:val="2516237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6" w15:restartNumberingAfterBreak="0">
    <w:nsid w:val="4F4370AD"/>
    <w:multiLevelType w:val="hybridMultilevel"/>
    <w:tmpl w:val="D3B447D6"/>
    <w:lvl w:ilvl="0" w:tplc="4F166FFA">
      <w:start w:val="1"/>
      <w:numFmt w:val="bullet"/>
      <w:lvlText w:val=""/>
      <w:lvlJc w:val="left"/>
      <w:pPr>
        <w:ind w:left="720" w:hanging="360"/>
      </w:pPr>
      <w:rPr>
        <w:rFonts w:hint="default" w:ascii="Symbol" w:hAnsi="Symbol"/>
      </w:rPr>
    </w:lvl>
    <w:lvl w:ilvl="1" w:tplc="4DA8ABB8">
      <w:start w:val="1"/>
      <w:numFmt w:val="bullet"/>
      <w:lvlText w:val="o"/>
      <w:lvlJc w:val="left"/>
      <w:pPr>
        <w:ind w:left="1440" w:hanging="360"/>
      </w:pPr>
      <w:rPr>
        <w:rFonts w:hint="default" w:ascii="Courier New" w:hAnsi="Courier New"/>
      </w:rPr>
    </w:lvl>
    <w:lvl w:ilvl="2" w:tplc="24DEA414">
      <w:start w:val="1"/>
      <w:numFmt w:val="bullet"/>
      <w:lvlText w:val=""/>
      <w:lvlJc w:val="left"/>
      <w:pPr>
        <w:ind w:left="2160" w:hanging="360"/>
      </w:pPr>
      <w:rPr>
        <w:rFonts w:hint="default" w:ascii="Wingdings" w:hAnsi="Wingdings"/>
      </w:rPr>
    </w:lvl>
    <w:lvl w:ilvl="3" w:tplc="2528F88A">
      <w:start w:val="1"/>
      <w:numFmt w:val="bullet"/>
      <w:lvlText w:val=""/>
      <w:lvlJc w:val="left"/>
      <w:pPr>
        <w:ind w:left="2880" w:hanging="360"/>
      </w:pPr>
      <w:rPr>
        <w:rFonts w:hint="default" w:ascii="Symbol" w:hAnsi="Symbol"/>
      </w:rPr>
    </w:lvl>
    <w:lvl w:ilvl="4" w:tplc="54C0AE98">
      <w:start w:val="1"/>
      <w:numFmt w:val="bullet"/>
      <w:lvlText w:val="o"/>
      <w:lvlJc w:val="left"/>
      <w:pPr>
        <w:ind w:left="3600" w:hanging="360"/>
      </w:pPr>
      <w:rPr>
        <w:rFonts w:hint="default" w:ascii="Courier New" w:hAnsi="Courier New"/>
      </w:rPr>
    </w:lvl>
    <w:lvl w:ilvl="5" w:tplc="791496CE">
      <w:start w:val="1"/>
      <w:numFmt w:val="bullet"/>
      <w:lvlText w:val=""/>
      <w:lvlJc w:val="left"/>
      <w:pPr>
        <w:ind w:left="4320" w:hanging="360"/>
      </w:pPr>
      <w:rPr>
        <w:rFonts w:hint="default" w:ascii="Wingdings" w:hAnsi="Wingdings"/>
      </w:rPr>
    </w:lvl>
    <w:lvl w:ilvl="6" w:tplc="FD4841E8">
      <w:start w:val="1"/>
      <w:numFmt w:val="bullet"/>
      <w:lvlText w:val=""/>
      <w:lvlJc w:val="left"/>
      <w:pPr>
        <w:ind w:left="5040" w:hanging="360"/>
      </w:pPr>
      <w:rPr>
        <w:rFonts w:hint="default" w:ascii="Symbol" w:hAnsi="Symbol"/>
      </w:rPr>
    </w:lvl>
    <w:lvl w:ilvl="7" w:tplc="D090A3E6">
      <w:start w:val="1"/>
      <w:numFmt w:val="bullet"/>
      <w:lvlText w:val="o"/>
      <w:lvlJc w:val="left"/>
      <w:pPr>
        <w:ind w:left="5760" w:hanging="360"/>
      </w:pPr>
      <w:rPr>
        <w:rFonts w:hint="default" w:ascii="Courier New" w:hAnsi="Courier New"/>
      </w:rPr>
    </w:lvl>
    <w:lvl w:ilvl="8" w:tplc="500EB454">
      <w:start w:val="1"/>
      <w:numFmt w:val="bullet"/>
      <w:lvlText w:val=""/>
      <w:lvlJc w:val="left"/>
      <w:pPr>
        <w:ind w:left="6480" w:hanging="360"/>
      </w:pPr>
      <w:rPr>
        <w:rFonts w:hint="default" w:ascii="Wingdings" w:hAnsi="Wingdings"/>
      </w:rPr>
    </w:lvl>
  </w:abstractNum>
  <w:abstractNum w:abstractNumId="7" w15:restartNumberingAfterBreak="0">
    <w:nsid w:val="56A95D91"/>
    <w:multiLevelType w:val="multilevel"/>
    <w:tmpl w:val="A016D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DB939C9"/>
    <w:multiLevelType w:val="hybridMultilevel"/>
    <w:tmpl w:val="35CA0EC0"/>
    <w:lvl w:ilvl="0" w:tplc="2A7649C2">
      <w:start w:val="1"/>
      <w:numFmt w:val="bullet"/>
      <w:lvlText w:val=""/>
      <w:lvlJc w:val="left"/>
      <w:pPr>
        <w:ind w:left="720" w:hanging="360"/>
      </w:pPr>
      <w:rPr>
        <w:rFonts w:hint="default" w:ascii="Symbol" w:hAnsi="Symbol"/>
      </w:rPr>
    </w:lvl>
    <w:lvl w:ilvl="1" w:tplc="2940DDF4">
      <w:start w:val="1"/>
      <w:numFmt w:val="bullet"/>
      <w:lvlText w:val="o"/>
      <w:lvlJc w:val="left"/>
      <w:pPr>
        <w:ind w:left="1440" w:hanging="360"/>
      </w:pPr>
      <w:rPr>
        <w:rFonts w:hint="default" w:ascii="Courier New" w:hAnsi="Courier New"/>
      </w:rPr>
    </w:lvl>
    <w:lvl w:ilvl="2" w:tplc="9A0C5BC6">
      <w:start w:val="1"/>
      <w:numFmt w:val="bullet"/>
      <w:lvlText w:val=""/>
      <w:lvlJc w:val="left"/>
      <w:pPr>
        <w:ind w:left="2160" w:hanging="360"/>
      </w:pPr>
      <w:rPr>
        <w:rFonts w:hint="default" w:ascii="Wingdings" w:hAnsi="Wingdings"/>
      </w:rPr>
    </w:lvl>
    <w:lvl w:ilvl="3" w:tplc="2A1AAB8E">
      <w:start w:val="1"/>
      <w:numFmt w:val="bullet"/>
      <w:lvlText w:val=""/>
      <w:lvlJc w:val="left"/>
      <w:pPr>
        <w:ind w:left="2880" w:hanging="360"/>
      </w:pPr>
      <w:rPr>
        <w:rFonts w:hint="default" w:ascii="Symbol" w:hAnsi="Symbol"/>
      </w:rPr>
    </w:lvl>
    <w:lvl w:ilvl="4" w:tplc="0346DD14">
      <w:start w:val="1"/>
      <w:numFmt w:val="bullet"/>
      <w:lvlText w:val="o"/>
      <w:lvlJc w:val="left"/>
      <w:pPr>
        <w:ind w:left="3600" w:hanging="360"/>
      </w:pPr>
      <w:rPr>
        <w:rFonts w:hint="default" w:ascii="Courier New" w:hAnsi="Courier New"/>
      </w:rPr>
    </w:lvl>
    <w:lvl w:ilvl="5" w:tplc="069E4DB8">
      <w:start w:val="1"/>
      <w:numFmt w:val="bullet"/>
      <w:lvlText w:val=""/>
      <w:lvlJc w:val="left"/>
      <w:pPr>
        <w:ind w:left="4320" w:hanging="360"/>
      </w:pPr>
      <w:rPr>
        <w:rFonts w:hint="default" w:ascii="Wingdings" w:hAnsi="Wingdings"/>
      </w:rPr>
    </w:lvl>
    <w:lvl w:ilvl="6" w:tplc="DA7C63DC">
      <w:start w:val="1"/>
      <w:numFmt w:val="bullet"/>
      <w:lvlText w:val=""/>
      <w:lvlJc w:val="left"/>
      <w:pPr>
        <w:ind w:left="5040" w:hanging="360"/>
      </w:pPr>
      <w:rPr>
        <w:rFonts w:hint="default" w:ascii="Symbol" w:hAnsi="Symbol"/>
      </w:rPr>
    </w:lvl>
    <w:lvl w:ilvl="7" w:tplc="6B482BC8">
      <w:start w:val="1"/>
      <w:numFmt w:val="bullet"/>
      <w:lvlText w:val="o"/>
      <w:lvlJc w:val="left"/>
      <w:pPr>
        <w:ind w:left="5760" w:hanging="360"/>
      </w:pPr>
      <w:rPr>
        <w:rFonts w:hint="default" w:ascii="Courier New" w:hAnsi="Courier New"/>
      </w:rPr>
    </w:lvl>
    <w:lvl w:ilvl="8" w:tplc="F54C1EFC">
      <w:start w:val="1"/>
      <w:numFmt w:val="bullet"/>
      <w:lvlText w:val=""/>
      <w:lvlJc w:val="left"/>
      <w:pPr>
        <w:ind w:left="6480" w:hanging="360"/>
      </w:pPr>
      <w:rPr>
        <w:rFonts w:hint="default" w:ascii="Wingdings" w:hAnsi="Wingdings"/>
      </w:rPr>
    </w:lvl>
  </w:abstractNum>
  <w:abstractNum w:abstractNumId="9" w15:restartNumberingAfterBreak="0">
    <w:nsid w:val="61816D49"/>
    <w:multiLevelType w:val="multilevel"/>
    <w:tmpl w:val="8CA07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1"/>
  </w:num>
  <w:num w:numId="3">
    <w:abstractNumId w:val="5"/>
  </w:num>
  <w:num w:numId="4">
    <w:abstractNumId w:val="9"/>
  </w:num>
  <w:num w:numId="5">
    <w:abstractNumId w:val="3"/>
  </w:num>
  <w:num w:numId="6">
    <w:abstractNumId w:val="0"/>
  </w:num>
  <w:num w:numId="7">
    <w:abstractNumId w:val="7"/>
  </w:num>
  <w:num w:numId="8">
    <w:abstractNumId w:val="2"/>
  </w:num>
  <w:num w:numId="9">
    <w:abstractNumId w:val="8"/>
  </w:num>
  <w:num w:numId="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8"/>
    <w:rsid w:val="000607E5"/>
    <w:rsid w:val="000F2EDC"/>
    <w:rsid w:val="00103306"/>
    <w:rsid w:val="00142398"/>
    <w:rsid w:val="001A5C6B"/>
    <w:rsid w:val="002F1798"/>
    <w:rsid w:val="002F65E4"/>
    <w:rsid w:val="00305893"/>
    <w:rsid w:val="00336DA6"/>
    <w:rsid w:val="003642BE"/>
    <w:rsid w:val="003819D1"/>
    <w:rsid w:val="003C0821"/>
    <w:rsid w:val="00425352"/>
    <w:rsid w:val="004600AE"/>
    <w:rsid w:val="004A12FD"/>
    <w:rsid w:val="005075B3"/>
    <w:rsid w:val="00541944"/>
    <w:rsid w:val="00543C2F"/>
    <w:rsid w:val="005A3B86"/>
    <w:rsid w:val="005A54E2"/>
    <w:rsid w:val="005B4E04"/>
    <w:rsid w:val="005F14C2"/>
    <w:rsid w:val="005F6524"/>
    <w:rsid w:val="00647535"/>
    <w:rsid w:val="006C72F8"/>
    <w:rsid w:val="006E7873"/>
    <w:rsid w:val="00722B72"/>
    <w:rsid w:val="00737C81"/>
    <w:rsid w:val="0074353B"/>
    <w:rsid w:val="007F586C"/>
    <w:rsid w:val="00815B8A"/>
    <w:rsid w:val="008A419E"/>
    <w:rsid w:val="008D1208"/>
    <w:rsid w:val="008E0699"/>
    <w:rsid w:val="00917087"/>
    <w:rsid w:val="009551C1"/>
    <w:rsid w:val="009A310F"/>
    <w:rsid w:val="009A737E"/>
    <w:rsid w:val="00AC505A"/>
    <w:rsid w:val="00AD71C7"/>
    <w:rsid w:val="00C5768E"/>
    <w:rsid w:val="00CB189B"/>
    <w:rsid w:val="00D21639"/>
    <w:rsid w:val="00D42AB6"/>
    <w:rsid w:val="00D95B1E"/>
    <w:rsid w:val="00E57570"/>
    <w:rsid w:val="00EA1E2F"/>
    <w:rsid w:val="00EB2812"/>
    <w:rsid w:val="00F471B2"/>
    <w:rsid w:val="00F53413"/>
    <w:rsid w:val="00F8640E"/>
    <w:rsid w:val="00FA1286"/>
    <w:rsid w:val="010E50F5"/>
    <w:rsid w:val="014886F3"/>
    <w:rsid w:val="06352073"/>
    <w:rsid w:val="06DC5EB6"/>
    <w:rsid w:val="08AB8B6A"/>
    <w:rsid w:val="096CC135"/>
    <w:rsid w:val="0D1B0EFC"/>
    <w:rsid w:val="0FAE9F95"/>
    <w:rsid w:val="1006A25B"/>
    <w:rsid w:val="10DDFE6C"/>
    <w:rsid w:val="12B2853A"/>
    <w:rsid w:val="13BC2718"/>
    <w:rsid w:val="1412CC9D"/>
    <w:rsid w:val="1819A1C6"/>
    <w:rsid w:val="1A2ABF9C"/>
    <w:rsid w:val="1AA46EC2"/>
    <w:rsid w:val="1E8C0A78"/>
    <w:rsid w:val="2021318F"/>
    <w:rsid w:val="23D1A1E2"/>
    <w:rsid w:val="240461DB"/>
    <w:rsid w:val="24206F2E"/>
    <w:rsid w:val="2BFE38E9"/>
    <w:rsid w:val="2FDF5E08"/>
    <w:rsid w:val="3146F781"/>
    <w:rsid w:val="31A05459"/>
    <w:rsid w:val="31BD7F79"/>
    <w:rsid w:val="33594FDA"/>
    <w:rsid w:val="34094ACE"/>
    <w:rsid w:val="344E10C9"/>
    <w:rsid w:val="38FFCBA2"/>
    <w:rsid w:val="3AC32CB5"/>
    <w:rsid w:val="3D7D6D1B"/>
    <w:rsid w:val="3DE8B6B4"/>
    <w:rsid w:val="3E8AC7AA"/>
    <w:rsid w:val="3FECB5D0"/>
    <w:rsid w:val="4695D98F"/>
    <w:rsid w:val="46CEEACA"/>
    <w:rsid w:val="49E6BF09"/>
    <w:rsid w:val="4C557DB4"/>
    <w:rsid w:val="4D4C0A40"/>
    <w:rsid w:val="54DD6CFF"/>
    <w:rsid w:val="57293854"/>
    <w:rsid w:val="57DD5464"/>
    <w:rsid w:val="588EBCE7"/>
    <w:rsid w:val="5B66A3B4"/>
    <w:rsid w:val="5DB8F748"/>
    <w:rsid w:val="5EDD80FB"/>
    <w:rsid w:val="62C94A96"/>
    <w:rsid w:val="62E272F3"/>
    <w:rsid w:val="63D95D14"/>
    <w:rsid w:val="6710FDD6"/>
    <w:rsid w:val="698B2773"/>
    <w:rsid w:val="6A2F763B"/>
    <w:rsid w:val="6BCB469C"/>
    <w:rsid w:val="6E52EC6A"/>
    <w:rsid w:val="6EDF07E2"/>
    <w:rsid w:val="6F1C0FBB"/>
    <w:rsid w:val="72DF6E60"/>
    <w:rsid w:val="746994AB"/>
    <w:rsid w:val="7665EBD5"/>
    <w:rsid w:val="793D750D"/>
    <w:rsid w:val="79569D6A"/>
    <w:rsid w:val="7A5B9B34"/>
    <w:rsid w:val="7C5B7E33"/>
    <w:rsid w:val="7C8E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DF02"/>
  <w15:chartTrackingRefBased/>
  <w15:docId w15:val="{5A4CB5D7-DF81-4D94-9B7C-2FA4F18725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4194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41944"/>
    <w:rPr>
      <w:b/>
      <w:bCs/>
    </w:rPr>
  </w:style>
  <w:style w:type="paragraph" w:styleId="ListParagraph">
    <w:name w:val="List Paragraph"/>
    <w:basedOn w:val="Normal"/>
    <w:uiPriority w:val="34"/>
    <w:qFormat/>
    <w:rsid w:val="00C57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6665">
      <w:bodyDiv w:val="1"/>
      <w:marLeft w:val="0"/>
      <w:marRight w:val="0"/>
      <w:marTop w:val="0"/>
      <w:marBottom w:val="0"/>
      <w:divBdr>
        <w:top w:val="none" w:sz="0" w:space="0" w:color="auto"/>
        <w:left w:val="none" w:sz="0" w:space="0" w:color="auto"/>
        <w:bottom w:val="none" w:sz="0" w:space="0" w:color="auto"/>
        <w:right w:val="none" w:sz="0" w:space="0" w:color="auto"/>
      </w:divBdr>
    </w:div>
    <w:div w:id="775949687">
      <w:bodyDiv w:val="1"/>
      <w:marLeft w:val="0"/>
      <w:marRight w:val="0"/>
      <w:marTop w:val="0"/>
      <w:marBottom w:val="0"/>
      <w:divBdr>
        <w:top w:val="none" w:sz="0" w:space="0" w:color="auto"/>
        <w:left w:val="none" w:sz="0" w:space="0" w:color="auto"/>
        <w:bottom w:val="none" w:sz="0" w:space="0" w:color="auto"/>
        <w:right w:val="none" w:sz="0" w:space="0" w:color="auto"/>
      </w:divBdr>
    </w:div>
    <w:div w:id="784160775">
      <w:bodyDiv w:val="1"/>
      <w:marLeft w:val="0"/>
      <w:marRight w:val="0"/>
      <w:marTop w:val="0"/>
      <w:marBottom w:val="0"/>
      <w:divBdr>
        <w:top w:val="none" w:sz="0" w:space="0" w:color="auto"/>
        <w:left w:val="none" w:sz="0" w:space="0" w:color="auto"/>
        <w:bottom w:val="none" w:sz="0" w:space="0" w:color="auto"/>
        <w:right w:val="none" w:sz="0" w:space="0" w:color="auto"/>
      </w:divBdr>
    </w:div>
    <w:div w:id="1098866368">
      <w:bodyDiv w:val="1"/>
      <w:marLeft w:val="0"/>
      <w:marRight w:val="0"/>
      <w:marTop w:val="0"/>
      <w:marBottom w:val="0"/>
      <w:divBdr>
        <w:top w:val="none" w:sz="0" w:space="0" w:color="auto"/>
        <w:left w:val="none" w:sz="0" w:space="0" w:color="auto"/>
        <w:bottom w:val="none" w:sz="0" w:space="0" w:color="auto"/>
        <w:right w:val="none" w:sz="0" w:space="0" w:color="auto"/>
      </w:divBdr>
    </w:div>
    <w:div w:id="1118257476">
      <w:bodyDiv w:val="1"/>
      <w:marLeft w:val="0"/>
      <w:marRight w:val="0"/>
      <w:marTop w:val="0"/>
      <w:marBottom w:val="0"/>
      <w:divBdr>
        <w:top w:val="none" w:sz="0" w:space="0" w:color="auto"/>
        <w:left w:val="none" w:sz="0" w:space="0" w:color="auto"/>
        <w:bottom w:val="none" w:sz="0" w:space="0" w:color="auto"/>
        <w:right w:val="none" w:sz="0" w:space="0" w:color="auto"/>
      </w:divBdr>
    </w:div>
    <w:div w:id="1122766301">
      <w:bodyDiv w:val="1"/>
      <w:marLeft w:val="0"/>
      <w:marRight w:val="0"/>
      <w:marTop w:val="0"/>
      <w:marBottom w:val="0"/>
      <w:divBdr>
        <w:top w:val="none" w:sz="0" w:space="0" w:color="auto"/>
        <w:left w:val="none" w:sz="0" w:space="0" w:color="auto"/>
        <w:bottom w:val="none" w:sz="0" w:space="0" w:color="auto"/>
        <w:right w:val="none" w:sz="0" w:space="0" w:color="auto"/>
      </w:divBdr>
    </w:div>
    <w:div w:id="1689025008">
      <w:bodyDiv w:val="1"/>
      <w:marLeft w:val="0"/>
      <w:marRight w:val="0"/>
      <w:marTop w:val="0"/>
      <w:marBottom w:val="0"/>
      <w:divBdr>
        <w:top w:val="none" w:sz="0" w:space="0" w:color="auto"/>
        <w:left w:val="none" w:sz="0" w:space="0" w:color="auto"/>
        <w:bottom w:val="none" w:sz="0" w:space="0" w:color="auto"/>
        <w:right w:val="none" w:sz="0" w:space="0" w:color="auto"/>
      </w:divBdr>
    </w:div>
    <w:div w:id="18617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82a2cdfce851a815f6849953c42455d1">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626e90c7a1ec107215ed45565d96a3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SharedWithUsers xmlns="8e1cb78b-b011-4af6-b79c-b1bdf241dd72">
      <UserInfo>
        <DisplayName/>
        <AccountId xsi:nil="true"/>
        <AccountType/>
      </UserInfo>
    </SharedWithUsers>
  </documentManagement>
</p:properties>
</file>

<file path=customXml/itemProps1.xml><?xml version="1.0" encoding="utf-8"?>
<ds:datastoreItem xmlns:ds="http://schemas.openxmlformats.org/officeDocument/2006/customXml" ds:itemID="{E17EAD2B-2A02-43F3-A5AD-49E362A2898B}"/>
</file>

<file path=customXml/itemProps2.xml><?xml version="1.0" encoding="utf-8"?>
<ds:datastoreItem xmlns:ds="http://schemas.openxmlformats.org/officeDocument/2006/customXml" ds:itemID="{E9779E0B-7575-4515-A75F-EB4D18848FAF}"/>
</file>

<file path=customXml/itemProps3.xml><?xml version="1.0" encoding="utf-8"?>
<ds:datastoreItem xmlns:ds="http://schemas.openxmlformats.org/officeDocument/2006/customXml" ds:itemID="{ADF6CA91-FE97-4BA3-903A-045A930CD9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Gowell</dc:creator>
  <cp:keywords/>
  <dc:description/>
  <cp:lastModifiedBy>Hannah Smale</cp:lastModifiedBy>
  <cp:revision>6</cp:revision>
  <dcterms:created xsi:type="dcterms:W3CDTF">2024-06-27T07:33:00Z</dcterms:created>
  <dcterms:modified xsi:type="dcterms:W3CDTF">2026-01-06T16:12:16Z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Order">
    <vt:r8>10800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