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430B6" w:rsidR="000F656B" w:rsidP="0053191B" w:rsidRDefault="000F656B" w14:paraId="229E9EFF" w14:textId="77777777">
      <w:pPr>
        <w:jc w:val="center"/>
        <w:rPr>
          <w:rFonts w:ascii="Comic Sans MS" w:hAnsi="Comic Sans MS" w:eastAsia="Century Gothic" w:cs="Calibri"/>
          <w:b/>
          <w:color w:val="000000" w:themeColor="text1"/>
          <w:sz w:val="18"/>
          <w:szCs w:val="18"/>
          <w:lang w:eastAsia="en-GB" w:bidi="en-GB"/>
        </w:rPr>
      </w:pPr>
    </w:p>
    <w:p w:rsidRPr="000430B6" w:rsidR="00D42389" w:rsidP="0053191B" w:rsidRDefault="007F586C" w14:paraId="1F3AB57C" w14:textId="3DC74D6E">
      <w:pPr>
        <w:jc w:val="center"/>
        <w:rPr>
          <w:rFonts w:ascii="Comic Sans MS" w:hAnsi="Comic Sans MS" w:eastAsia="Century Gothic" w:cs="Calibri"/>
          <w:b/>
          <w:color w:val="000000" w:themeColor="text1"/>
          <w:sz w:val="18"/>
          <w:szCs w:val="18"/>
          <w:lang w:eastAsia="en-GB" w:bidi="en-GB"/>
        </w:rPr>
      </w:pPr>
      <w:r w:rsidRPr="000430B6">
        <w:rPr>
          <w:rFonts w:ascii="Comic Sans MS" w:hAnsi="Comic Sans MS"/>
          <w:b/>
          <w:noProof/>
        </w:rPr>
        <w:drawing>
          <wp:inline distT="0" distB="0" distL="0" distR="0" wp14:anchorId="1F7E2DF2" wp14:editId="7EA7A71C">
            <wp:extent cx="22288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0B6">
        <w:rPr>
          <w:rFonts w:ascii="Comic Sans MS" w:hAnsi="Comic Sans MS"/>
          <w:b/>
        </w:rPr>
        <w:br/>
      </w:r>
    </w:p>
    <w:p w:rsidRPr="000430B6" w:rsidR="000F656B" w:rsidP="69422B8E" w:rsidRDefault="000F656B" w14:paraId="16822873" w14:textId="268A2D8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 w:bidi="en-GB"/>
        </w:rPr>
        <w:t>Science curriculum statement</w:t>
      </w:r>
    </w:p>
    <w:p w:rsidRPr="000430B6" w:rsidR="000F656B" w:rsidP="69422B8E" w:rsidRDefault="000F656B" w14:paraId="6146266E" w14:textId="47F0C68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 w:bidi="en-GB"/>
        </w:rPr>
        <w:t>Vision for NorthStar 82</w:t>
      </w:r>
    </w:p>
    <w:p w:rsidRPr="000430B6" w:rsidR="000F656B" w:rsidP="69422B8E" w:rsidRDefault="000F656B" w14:paraId="6F3D8C4E" w14:textId="64C3B1C2">
      <w:pPr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At NorthStar 82, we envision a science curriculum that nurtures a sense of curiosity in our students towards themselves, their environment, and the realm of scientific inquiry</w:t>
      </w: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.  </w:t>
      </w: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Our goal is to equip them with a robust scientific knowledge that will serve as a foundation for their journey into secondary</w:t>
      </w:r>
      <w:bookmarkStart w:name="_GoBack" w:id="0"/>
      <w:bookmarkEnd w:id="0"/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school and beyond. </w:t>
      </w:r>
    </w:p>
    <w:p w:rsidRPr="000430B6" w:rsidR="000F656B" w:rsidP="69422B8E" w:rsidRDefault="000F656B" w14:paraId="5123F3E5" w14:textId="66EAF86C">
      <w:p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/>
          <w:sz w:val="20"/>
          <w:szCs w:val="20"/>
          <w:lang w:eastAsia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 w:bidi="en-GB"/>
        </w:rPr>
        <w:t>We aim for students to:</w:t>
      </w:r>
    </w:p>
    <w:p w:rsidRPr="000430B6" w:rsidR="00653A7C" w:rsidP="69422B8E" w:rsidRDefault="000F656B" w14:paraId="3ECFF97C" w14:textId="02B08EF7">
      <w:pPr>
        <w:pStyle w:val="ListParagraph"/>
        <w:widowControl w:val="0"/>
        <w:numPr>
          <w:ilvl w:val="0"/>
          <w:numId w:val="15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Develop: Curiosity, critical thinking </w:t>
      </w: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skills</w:t>
      </w: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and a passion for exploration. </w:t>
      </w:r>
    </w:p>
    <w:p w:rsidRPr="000430B6" w:rsidR="000F656B" w:rsidP="69422B8E" w:rsidRDefault="000F656B" w14:paraId="4A693C59" w14:textId="05816D06">
      <w:pPr>
        <w:pStyle w:val="ListParagraph"/>
        <w:widowControl w:val="0"/>
        <w:numPr>
          <w:ilvl w:val="0"/>
          <w:numId w:val="15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Answer: Questions through scientific inquiry and investigation. </w:t>
      </w:r>
    </w:p>
    <w:p w:rsidRPr="000430B6" w:rsidR="000F656B" w:rsidP="69422B8E" w:rsidRDefault="000F656B" w14:paraId="51402FF5" w14:textId="70ACB4E4">
      <w:pPr>
        <w:pStyle w:val="ListParagraph"/>
        <w:widowControl w:val="0"/>
        <w:numPr>
          <w:ilvl w:val="0"/>
          <w:numId w:val="15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Understand: Fundamental scientific concepts and their real- world applications</w:t>
      </w:r>
    </w:p>
    <w:p w:rsidRPr="000430B6" w:rsidR="000F656B" w:rsidP="69422B8E" w:rsidRDefault="000F656B" w14:paraId="2CA48358" w14:textId="199E2A24">
      <w:pPr>
        <w:pStyle w:val="ListParagraph"/>
        <w:widowControl w:val="0"/>
        <w:numPr>
          <w:ilvl w:val="0"/>
          <w:numId w:val="15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Acquire</w:t>
      </w: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a range of: Skills and knowledge that enable them to engage with scientific ideas and concepts effectively. </w:t>
      </w:r>
    </w:p>
    <w:p w:rsidRPr="000430B6" w:rsidR="000F656B" w:rsidP="69422B8E" w:rsidRDefault="000F656B" w14:paraId="63C3736E" w14:textId="37B22CA1">
      <w:pPr>
        <w:pStyle w:val="ListParagraph"/>
        <w:widowControl w:val="0"/>
        <w:numPr>
          <w:ilvl w:val="0"/>
          <w:numId w:val="15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5A6E033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Participate in discussion: Explore the Social, Moral and Cultural implications of scientific advancements and how they </w:t>
      </w:r>
      <w:r w:rsidRPr="5A6E033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impact</w:t>
      </w:r>
      <w:r w:rsidRPr="5A6E033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</w:t>
      </w:r>
      <w:r w:rsidRPr="5A6E033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every</w:t>
      </w:r>
      <w:r w:rsidRPr="5A6E033E" w:rsidR="0151B5E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-</w:t>
      </w:r>
      <w:r w:rsidRPr="5A6E033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day</w:t>
      </w:r>
      <w:r w:rsidRPr="5A6E033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life. </w:t>
      </w:r>
    </w:p>
    <w:p w:rsidRPr="000430B6" w:rsidR="000F656B" w:rsidP="69422B8E" w:rsidRDefault="000F656B" w14:paraId="18CE969D" w14:textId="15087586">
      <w:pPr>
        <w:pStyle w:val="ListParagraph"/>
        <w:widowControl w:val="0"/>
        <w:numPr>
          <w:ilvl w:val="0"/>
          <w:numId w:val="15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Be prepared to progre</w:t>
      </w:r>
      <w:r w:rsidRPr="69422B8E" w:rsidR="000430B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ss</w:t>
      </w:r>
      <w:r w:rsidRPr="69422B8E" w:rsidR="000F656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into: advanced study of science, including the pursuit of GCSE qualifications in secondary school. </w:t>
      </w:r>
    </w:p>
    <w:p w:rsidRPr="000430B6" w:rsidR="00E67B01" w:rsidP="69422B8E" w:rsidRDefault="00E67B01" w14:paraId="001C2237" w14:textId="2FE2FCE3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eastAsia="en-GB" w:bidi="en-GB"/>
        </w:rPr>
      </w:pPr>
    </w:p>
    <w:p w:rsidRPr="000430B6" w:rsidR="00E67B01" w:rsidP="69422B8E" w:rsidRDefault="00E67B01" w14:paraId="320C5D91" w14:textId="53DF2D73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  <w:lang w:eastAsia="en-GB" w:bidi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 w:bidi="en-GB"/>
        </w:rPr>
        <w:t>Implementation:  To achieve our vision, we have devised a comprehensive plan:</w:t>
      </w:r>
    </w:p>
    <w:p w:rsidRPr="000430B6" w:rsidR="00653A7C" w:rsidP="69422B8E" w:rsidRDefault="00E67B01" w14:paraId="26D2288A" w14:textId="78415CBE">
      <w:pPr>
        <w:pStyle w:val="ListParagraph"/>
        <w:widowControl w:val="0"/>
        <w:numPr>
          <w:ilvl w:val="0"/>
          <w:numId w:val="16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We follow the White Rose Science curriculum, which emphasises depth, progression, problem 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soving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and the integration of scientific inquiry into lessons. </w:t>
      </w:r>
    </w:p>
    <w:p w:rsidRPr="000430B6" w:rsidR="00E67B01" w:rsidP="69422B8E" w:rsidRDefault="00E67B01" w14:paraId="7E8FE153" w14:textId="7CFD4013">
      <w:pPr>
        <w:pStyle w:val="ListParagraph"/>
        <w:widowControl w:val="0"/>
        <w:numPr>
          <w:ilvl w:val="0"/>
          <w:numId w:val="16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Regular whole school events, such as ‘Girls in STEM’ Science Day, Wildlife and Environment Days, and outdoor Science learning, provide </w:t>
      </w:r>
      <w:r w:rsidRPr="5A6E033E" w:rsidR="0D384EF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opportunities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for hands on exploration and skills development. </w:t>
      </w:r>
    </w:p>
    <w:p w:rsidRPr="000430B6" w:rsidR="00E67B01" w:rsidP="69422B8E" w:rsidRDefault="00E67B01" w14:paraId="0987D063" w14:textId="3D87C235">
      <w:pPr>
        <w:pStyle w:val="ListParagraph"/>
        <w:widowControl w:val="0"/>
        <w:numPr>
          <w:ilvl w:val="0"/>
          <w:numId w:val="16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We adopt a cross curricular approach, integrating science into other subjects such as:</w:t>
      </w:r>
    </w:p>
    <w:p w:rsidRPr="000430B6" w:rsidR="00E67B01" w:rsidP="69422B8E" w:rsidRDefault="00E67B01" w14:paraId="1C322E64" w14:textId="7CD0ABC9">
      <w:pPr>
        <w:pStyle w:val="ListParagraph"/>
        <w:widowControl w:val="0"/>
        <w:numPr>
          <w:ilvl w:val="1"/>
          <w:numId w:val="16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Circle time Engaging discussions about scientific concepts, encouraging students to share observations and questions about the natural world. </w:t>
      </w:r>
    </w:p>
    <w:p w:rsidRPr="000430B6" w:rsidR="00E67B01" w:rsidP="69422B8E" w:rsidRDefault="00E67B01" w14:paraId="6C5B2AF7" w14:textId="6F9183AB">
      <w:pPr>
        <w:pStyle w:val="ListParagraph"/>
        <w:widowControl w:val="0"/>
        <w:numPr>
          <w:ilvl w:val="1"/>
          <w:numId w:val="16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Fine motor skills activities: incorporating scientific activities that involve fine motor skill, such as conducting </w:t>
      </w:r>
      <w:r w:rsidRPr="5A6E033E" w:rsidR="67E7778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experiments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that require precise manipulation of tools or materials. </w:t>
      </w:r>
    </w:p>
    <w:p w:rsidRPr="000430B6" w:rsidR="00E67B01" w:rsidP="69422B8E" w:rsidRDefault="00E67B01" w14:paraId="5634A107" w14:textId="5C5E7B3B">
      <w:pPr>
        <w:pStyle w:val="ListParagraph"/>
        <w:widowControl w:val="0"/>
        <w:numPr>
          <w:ilvl w:val="1"/>
          <w:numId w:val="16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lang w:eastAsia="en-GB" w:bidi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PSHE (Personal, Social, </w:t>
      </w:r>
      <w:r w:rsidRPr="69422B8E" w:rsidR="000430B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Health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Education) Lessons: Integrating science topics related to health, 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nutrition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and wellbeing into PSHE lessons, 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>promoting an understanding of the</w:t>
      </w:r>
      <w:r w:rsidRPr="69422B8E" w:rsidR="000430B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 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 w:bidi="en-GB"/>
        </w:rPr>
        <w:t xml:space="preserve">scientific principles underlying personal and social choices. </w:t>
      </w:r>
    </w:p>
    <w:p w:rsidRPr="000430B6" w:rsidR="00E67B01" w:rsidP="69422B8E" w:rsidRDefault="00E67B01" w14:paraId="26AD09D1" w14:textId="6C7800E9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 w:bidi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lang w:eastAsia="en-GB" w:bidi="en-GB"/>
        </w:rPr>
        <w:t>Curriculum</w:t>
      </w:r>
    </w:p>
    <w:p w:rsidRPr="000430B6" w:rsidR="00E67B01" w:rsidP="69422B8E" w:rsidRDefault="00E67B01" w14:paraId="5C3B8AD5" w14:textId="7FA8F566">
      <w:pPr>
        <w:pStyle w:val="ListParagraph"/>
        <w:widowControl w:val="0"/>
        <w:numPr>
          <w:ilvl w:val="0"/>
          <w:numId w:val="17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Early Years Foundation Stage (EYFS): Students will have 2 science lessons per week, one of which will focus on developing scientific enquiry skills. </w:t>
      </w:r>
    </w:p>
    <w:p w:rsidRPr="000430B6" w:rsidR="00E67B01" w:rsidP="69422B8E" w:rsidRDefault="00E67B01" w14:paraId="0FDB3B80" w14:textId="1DBB94E4">
      <w:pPr>
        <w:pStyle w:val="ListParagraph"/>
        <w:widowControl w:val="0"/>
        <w:numPr>
          <w:ilvl w:val="0"/>
          <w:numId w:val="17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Key Stage 1 (KS1) and Key state 2 (KS2) Students will have 2 science lessons per week with 1 dedicated to honing scientific enquiry skills. </w:t>
      </w:r>
    </w:p>
    <w:p w:rsidRPr="000430B6" w:rsidR="00E67B01" w:rsidP="69422B8E" w:rsidRDefault="00E67B01" w14:paraId="404BAA8C" w14:textId="7D497CD7">
      <w:pPr>
        <w:pStyle w:val="ListParagraph"/>
        <w:widowControl w:val="0"/>
        <w:numPr>
          <w:ilvl w:val="0"/>
          <w:numId w:val="17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Complex Needs Group: 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Students will have 2 science lessons per week with 1 dedicated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 to developing scientific enquiry skills. </w:t>
      </w:r>
    </w:p>
    <w:p w:rsidRPr="000430B6" w:rsidR="00E67B01" w:rsidP="69422B8E" w:rsidRDefault="00E67B01" w14:paraId="215AD0AC" w14:textId="27C9166E">
      <w:pPr>
        <w:pStyle w:val="Normal"/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0"/>
          <w:szCs w:val="20"/>
          <w:lang w:eastAsia="en-GB"/>
        </w:rPr>
      </w:pPr>
    </w:p>
    <w:p w:rsidRPr="000430B6" w:rsidR="00E67B01" w:rsidP="69422B8E" w:rsidRDefault="00E67B01" w14:paraId="21874047" w14:textId="484E8D22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0"/>
          <w:szCs w:val="20"/>
          <w:lang w:eastAsia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 w:themeShade="FF"/>
          <w:sz w:val="20"/>
          <w:szCs w:val="20"/>
          <w:lang w:eastAsia="en-GB"/>
        </w:rPr>
        <w:t xml:space="preserve">Impact: We 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 w:themeShade="FF"/>
          <w:sz w:val="20"/>
          <w:szCs w:val="20"/>
          <w:lang w:eastAsia="en-GB"/>
        </w:rPr>
        <w:t>anticipate</w:t>
      </w: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 w:themeColor="text1" w:themeTint="F2" w:themeShade="FF"/>
          <w:sz w:val="20"/>
          <w:szCs w:val="20"/>
          <w:lang w:eastAsia="en-GB"/>
        </w:rPr>
        <w:t xml:space="preserve"> several positive outcomes resulting from our science curriculum.</w:t>
      </w:r>
    </w:p>
    <w:p w:rsidRPr="000430B6" w:rsidR="00E67B01" w:rsidP="5A6E033E" w:rsidRDefault="00E67B01" w14:paraId="57A4FB76" w14:textId="64DC5CA3">
      <w:pPr>
        <w:pStyle w:val="ListParagraph"/>
        <w:widowControl w:val="0"/>
        <w:numPr>
          <w:ilvl w:val="0"/>
          <w:numId w:val="18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</w:pP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Assessment: Formative and summative assessments are used to track progress, 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identify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misconceptions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 and address gaps in 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lear</w:t>
      </w:r>
      <w:r w:rsidRPr="5A6E033E" w:rsidR="08F6412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ning p</w:t>
      </w:r>
      <w:r w:rsidRPr="5A6E033E" w:rsidR="00E67B0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romptly. </w:t>
      </w:r>
    </w:p>
    <w:p w:rsidRPr="000430B6" w:rsidR="00E67B01" w:rsidP="69422B8E" w:rsidRDefault="00E67B01" w14:paraId="63F3823E" w14:textId="6CE90EFF">
      <w:pPr>
        <w:pStyle w:val="ListParagraph"/>
        <w:widowControl w:val="0"/>
        <w:numPr>
          <w:ilvl w:val="0"/>
          <w:numId w:val="18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E67B01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Application of Knowledge: Students will apply scientific knowledge to real -life contexts, fostering everyday </w:t>
      </w:r>
      <w:r w:rsidRPr="69422B8E" w:rsidR="00DA758B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applications of </w:t>
      </w:r>
      <w:r w:rsidRPr="69422B8E" w:rsidR="00DA758B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Science</w:t>
      </w:r>
      <w:r w:rsidRPr="69422B8E" w:rsidR="00DA758B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.</w:t>
      </w:r>
    </w:p>
    <w:p w:rsidRPr="000430B6" w:rsidR="00DA758B" w:rsidP="69422B8E" w:rsidRDefault="00DA758B" w14:paraId="43F13802" w14:textId="53040157">
      <w:pPr>
        <w:pStyle w:val="ListParagraph"/>
        <w:widowControl w:val="0"/>
        <w:numPr>
          <w:ilvl w:val="0"/>
          <w:numId w:val="18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DA758B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Closing the gap: Our curriculum aims to narrow the gap to age-related expectations, particularly for students who have had limited exposure to science prior to joining NorthStar 82.</w:t>
      </w:r>
    </w:p>
    <w:p w:rsidRPr="000430B6" w:rsidR="00DA758B" w:rsidP="69422B8E" w:rsidRDefault="00DA758B" w14:paraId="486F0D6C" w14:textId="679A57DF">
      <w:pPr>
        <w:pStyle w:val="ListParagraph"/>
        <w:widowControl w:val="0"/>
        <w:numPr>
          <w:ilvl w:val="0"/>
          <w:numId w:val="18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DA758B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Retention and Recall: </w:t>
      </w:r>
      <w:r w:rsidRPr="69422B8E" w:rsidR="009F4738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Students will </w:t>
      </w:r>
      <w:r w:rsidRPr="69422B8E" w:rsidR="009F4738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retai</w:t>
      </w:r>
      <w:r w:rsidRPr="69422B8E" w:rsidR="00AA38E3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n</w:t>
      </w:r>
      <w:r w:rsidRPr="69422B8E" w:rsidR="009F4738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 and recall information from </w:t>
      </w:r>
      <w:r w:rsidRPr="69422B8E" w:rsidR="009F4738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previous</w:t>
      </w:r>
      <w:r w:rsidRPr="69422B8E" w:rsidR="009F4738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 learning. </w:t>
      </w:r>
      <w:r w:rsidRPr="69422B8E" w:rsidR="00AA38E3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>Reinforcing</w:t>
      </w:r>
      <w:r w:rsidRPr="69422B8E" w:rsidR="009F4738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 their understanding through questioning and reflection. </w:t>
      </w:r>
    </w:p>
    <w:p w:rsidRPr="000430B6" w:rsidR="009F4738" w:rsidP="69422B8E" w:rsidRDefault="009F4738" w14:paraId="1144427B" w14:textId="4F4449BA">
      <w:pPr>
        <w:pStyle w:val="ListParagraph"/>
        <w:widowControl w:val="0"/>
        <w:numPr>
          <w:ilvl w:val="0"/>
          <w:numId w:val="18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5A6E033E" w:rsidR="009F473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Language Proficiency: Students will articulate their understanding of scientific concepts using </w:t>
      </w:r>
      <w:r w:rsidRPr="5A6E033E" w:rsidR="009F473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appropriate </w:t>
      </w:r>
      <w:r w:rsidRPr="5A6E033E" w:rsidR="00AA38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terminology</w:t>
      </w:r>
      <w:r w:rsidRPr="5A6E033E" w:rsidR="00AA38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, </w:t>
      </w:r>
      <w:r w:rsidRPr="5A6E033E" w:rsidR="4474940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>integrating</w:t>
      </w:r>
      <w:r w:rsidRPr="5A6E033E" w:rsidR="00AA38E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lang w:eastAsia="en-GB"/>
        </w:rPr>
        <w:t xml:space="preserve"> scientific language into their everyday vocabulary. </w:t>
      </w:r>
    </w:p>
    <w:p w:rsidRPr="000430B6" w:rsidR="00AA38E3" w:rsidP="69422B8E" w:rsidRDefault="00AA38E3" w14:paraId="306B4581" w14:textId="7558F91E">
      <w:pPr>
        <w:pStyle w:val="ListParagraph"/>
        <w:widowControl w:val="0"/>
        <w:numPr>
          <w:ilvl w:val="0"/>
          <w:numId w:val="18"/>
        </w:numPr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color w:val="0D0D0D"/>
          <w:sz w:val="20"/>
          <w:szCs w:val="20"/>
          <w:lang w:eastAsia="en-GB"/>
        </w:rPr>
      </w:pPr>
      <w:r w:rsidRPr="69422B8E" w:rsidR="00AA38E3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sz w:val="20"/>
          <w:szCs w:val="20"/>
          <w:lang w:eastAsia="en-GB"/>
        </w:rPr>
        <w:t xml:space="preserve">Future pursuits:  We aim to inspire students to pursue further qualifications in science during their secondary school education. </w:t>
      </w:r>
    </w:p>
    <w:p w:rsidRPr="000430B6" w:rsidR="00E67B01" w:rsidP="69422B8E" w:rsidRDefault="00E67B01" w14:paraId="60EE24EC" w14:textId="2B0B68A6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0"/>
          <w:szCs w:val="20"/>
          <w:lang w:eastAsia="en-GB"/>
        </w:rPr>
      </w:pPr>
    </w:p>
    <w:p w:rsidRPr="000430B6" w:rsidR="00E67B01" w:rsidP="69422B8E" w:rsidRDefault="00E67B01" w14:paraId="6FBA65E5" w14:textId="77777777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sz w:val="20"/>
          <w:szCs w:val="20"/>
          <w:lang w:eastAsia="en-GB"/>
        </w:rPr>
      </w:pPr>
    </w:p>
    <w:p w:rsidRPr="000430B6" w:rsidR="00E67B01" w:rsidP="00E67B01" w:rsidRDefault="00E67B01" w14:paraId="17FA6A67" w14:textId="4584AEBB">
      <w:pPr>
        <w:widowControl w:val="0"/>
        <w:tabs>
          <w:tab w:val="left" w:pos="840"/>
          <w:tab w:val="left" w:pos="841"/>
        </w:tabs>
        <w:autoSpaceDE w:val="0"/>
        <w:autoSpaceDN w:val="0"/>
        <w:spacing w:before="2" w:after="0" w:line="240" w:lineRule="auto"/>
        <w:ind w:right="594"/>
        <w:rPr>
          <w:rFonts w:ascii="Comic Sans MS" w:hAnsi="Comic Sans MS" w:eastAsia="Times New Roman" w:cs="Segoe UI"/>
          <w:b/>
          <w:bCs/>
          <w:color w:val="0D0D0D"/>
          <w:sz w:val="24"/>
          <w:szCs w:val="24"/>
          <w:bdr w:val="single" w:color="E3E3E3" w:sz="2" w:space="0" w:frame="1"/>
          <w:lang w:eastAsia="en-GB"/>
        </w:rPr>
      </w:pPr>
    </w:p>
    <w:p w:rsidRPr="000430B6" w:rsidR="005F6524" w:rsidP="003819D1" w:rsidRDefault="005F6524" w14:paraId="585066A2" w14:textId="30484720">
      <w:pPr>
        <w:widowControl w:val="0"/>
        <w:autoSpaceDE w:val="0"/>
        <w:autoSpaceDN w:val="0"/>
        <w:spacing w:before="10" w:after="0" w:line="240" w:lineRule="auto"/>
        <w:rPr>
          <w:rFonts w:ascii="Comic Sans MS" w:hAnsi="Comic Sans MS" w:eastAsia="Times New Roman" w:cs="Calibri"/>
          <w:b/>
          <w:color w:val="000000" w:themeColor="text1"/>
          <w:sz w:val="18"/>
          <w:szCs w:val="18"/>
          <w:lang w:eastAsia="en-GB"/>
        </w:rPr>
      </w:pPr>
    </w:p>
    <w:sectPr w:rsidRPr="000430B6" w:rsidR="005F6524" w:rsidSect="00C5768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BBC"/>
    <w:multiLevelType w:val="hybridMultilevel"/>
    <w:tmpl w:val="2FD6840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50A5AB1"/>
    <w:multiLevelType w:val="multilevel"/>
    <w:tmpl w:val="FE18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9A142F"/>
    <w:multiLevelType w:val="multilevel"/>
    <w:tmpl w:val="095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9685300"/>
    <w:multiLevelType w:val="hybridMultilevel"/>
    <w:tmpl w:val="462A4DBE"/>
    <w:lvl w:ilvl="0" w:tplc="10A87680">
      <w:numFmt w:val="bullet"/>
      <w:lvlText w:val=""/>
      <w:lvlJc w:val="left"/>
      <w:pPr>
        <w:ind w:left="361" w:hanging="361"/>
      </w:pPr>
      <w:rPr>
        <w:rFonts w:hint="default" w:ascii="Symbol" w:hAnsi="Symbol" w:eastAsia="Symbol" w:cs="Symbol"/>
        <w:w w:val="100"/>
        <w:sz w:val="22"/>
        <w:szCs w:val="22"/>
        <w:lang w:val="en-GB" w:eastAsia="en-GB" w:bidi="en-GB"/>
      </w:rPr>
    </w:lvl>
    <w:lvl w:ilvl="1" w:tplc="8EF830AC"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w w:val="100"/>
        <w:sz w:val="22"/>
        <w:szCs w:val="22"/>
        <w:lang w:val="en-GB" w:eastAsia="en-GB" w:bidi="en-GB"/>
      </w:rPr>
    </w:lvl>
    <w:lvl w:ilvl="2" w:tplc="B4F0CD88">
      <w:numFmt w:val="bullet"/>
      <w:lvlText w:val="•"/>
      <w:lvlJc w:val="left"/>
      <w:pPr>
        <w:ind w:left="1651" w:hanging="361"/>
      </w:pPr>
      <w:rPr>
        <w:rFonts w:hint="default"/>
        <w:lang w:val="en-GB" w:eastAsia="en-GB" w:bidi="en-GB"/>
      </w:rPr>
    </w:lvl>
    <w:lvl w:ilvl="3" w:tplc="4F085048">
      <w:numFmt w:val="bullet"/>
      <w:lvlText w:val="•"/>
      <w:lvlJc w:val="left"/>
      <w:pPr>
        <w:ind w:left="2583" w:hanging="361"/>
      </w:pPr>
      <w:rPr>
        <w:rFonts w:hint="default"/>
        <w:lang w:val="en-GB" w:eastAsia="en-GB" w:bidi="en-GB"/>
      </w:rPr>
    </w:lvl>
    <w:lvl w:ilvl="4" w:tplc="6088A17E">
      <w:numFmt w:val="bullet"/>
      <w:lvlText w:val="•"/>
      <w:lvlJc w:val="left"/>
      <w:pPr>
        <w:ind w:left="3515" w:hanging="361"/>
      </w:pPr>
      <w:rPr>
        <w:rFonts w:hint="default"/>
        <w:lang w:val="en-GB" w:eastAsia="en-GB" w:bidi="en-GB"/>
      </w:rPr>
    </w:lvl>
    <w:lvl w:ilvl="5" w:tplc="0D0CE48C">
      <w:numFmt w:val="bullet"/>
      <w:lvlText w:val="•"/>
      <w:lvlJc w:val="left"/>
      <w:pPr>
        <w:ind w:left="4447" w:hanging="361"/>
      </w:pPr>
      <w:rPr>
        <w:rFonts w:hint="default"/>
        <w:lang w:val="en-GB" w:eastAsia="en-GB" w:bidi="en-GB"/>
      </w:rPr>
    </w:lvl>
    <w:lvl w:ilvl="6" w:tplc="85BCE004">
      <w:numFmt w:val="bullet"/>
      <w:lvlText w:val="•"/>
      <w:lvlJc w:val="left"/>
      <w:pPr>
        <w:ind w:left="5379" w:hanging="361"/>
      </w:pPr>
      <w:rPr>
        <w:rFonts w:hint="default"/>
        <w:lang w:val="en-GB" w:eastAsia="en-GB" w:bidi="en-GB"/>
      </w:rPr>
    </w:lvl>
    <w:lvl w:ilvl="7" w:tplc="7E760562">
      <w:numFmt w:val="bullet"/>
      <w:lvlText w:val="•"/>
      <w:lvlJc w:val="left"/>
      <w:pPr>
        <w:ind w:left="6310" w:hanging="361"/>
      </w:pPr>
      <w:rPr>
        <w:rFonts w:hint="default"/>
        <w:lang w:val="en-GB" w:eastAsia="en-GB" w:bidi="en-GB"/>
      </w:rPr>
    </w:lvl>
    <w:lvl w:ilvl="8" w:tplc="C2584C04">
      <w:numFmt w:val="bullet"/>
      <w:lvlText w:val="•"/>
      <w:lvlJc w:val="left"/>
      <w:pPr>
        <w:ind w:left="7242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1AB959F0"/>
    <w:multiLevelType w:val="multilevel"/>
    <w:tmpl w:val="164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4A0CC5"/>
    <w:multiLevelType w:val="hybridMultilevel"/>
    <w:tmpl w:val="062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9A2680"/>
    <w:multiLevelType w:val="multilevel"/>
    <w:tmpl w:val="587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DE2316C"/>
    <w:multiLevelType w:val="multilevel"/>
    <w:tmpl w:val="53A4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BD602C4"/>
    <w:multiLevelType w:val="hybridMultilevel"/>
    <w:tmpl w:val="2516237A"/>
    <w:lvl w:ilvl="0" w:tplc="08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9" w15:restartNumberingAfterBreak="0">
    <w:nsid w:val="4F4370AD"/>
    <w:multiLevelType w:val="hybridMultilevel"/>
    <w:tmpl w:val="D3B447D6"/>
    <w:lvl w:ilvl="0" w:tplc="4F166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A8AB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EA4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28F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0AE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149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841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0A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0EB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A114D6"/>
    <w:multiLevelType w:val="hybridMultilevel"/>
    <w:tmpl w:val="3794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95D91"/>
    <w:multiLevelType w:val="multilevel"/>
    <w:tmpl w:val="A01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B1F778D"/>
    <w:multiLevelType w:val="multilevel"/>
    <w:tmpl w:val="4CBC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CE32E42"/>
    <w:multiLevelType w:val="hybridMultilevel"/>
    <w:tmpl w:val="BF3AB8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48161B"/>
    <w:multiLevelType w:val="hybridMultilevel"/>
    <w:tmpl w:val="8634E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816D49"/>
    <w:multiLevelType w:val="multilevel"/>
    <w:tmpl w:val="8CA0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FB655D9"/>
    <w:multiLevelType w:val="multilevel"/>
    <w:tmpl w:val="7C4C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34976B5"/>
    <w:multiLevelType w:val="hybridMultilevel"/>
    <w:tmpl w:val="9FD67A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5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16"/>
  </w:num>
  <w:num w:numId="12">
    <w:abstractNumId w:val="1"/>
  </w:num>
  <w:num w:numId="13">
    <w:abstractNumId w:val="14"/>
  </w:num>
  <w:num w:numId="14">
    <w:abstractNumId w:val="10"/>
  </w:num>
  <w:num w:numId="15">
    <w:abstractNumId w:val="0"/>
  </w:num>
  <w:num w:numId="16">
    <w:abstractNumId w:val="5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98"/>
    <w:rsid w:val="000430B6"/>
    <w:rsid w:val="00052C70"/>
    <w:rsid w:val="000F2EDC"/>
    <w:rsid w:val="000F656B"/>
    <w:rsid w:val="00142398"/>
    <w:rsid w:val="002F1798"/>
    <w:rsid w:val="00305893"/>
    <w:rsid w:val="00336DA6"/>
    <w:rsid w:val="003819D1"/>
    <w:rsid w:val="003C0821"/>
    <w:rsid w:val="00425352"/>
    <w:rsid w:val="004A12FD"/>
    <w:rsid w:val="0053191B"/>
    <w:rsid w:val="00541944"/>
    <w:rsid w:val="00543C2F"/>
    <w:rsid w:val="005A3B86"/>
    <w:rsid w:val="005B4E04"/>
    <w:rsid w:val="005F14C2"/>
    <w:rsid w:val="005F6524"/>
    <w:rsid w:val="00653A7C"/>
    <w:rsid w:val="006C72F8"/>
    <w:rsid w:val="006E7873"/>
    <w:rsid w:val="00722B72"/>
    <w:rsid w:val="00737C81"/>
    <w:rsid w:val="007D3097"/>
    <w:rsid w:val="007F586C"/>
    <w:rsid w:val="008A419E"/>
    <w:rsid w:val="008D1208"/>
    <w:rsid w:val="008E0699"/>
    <w:rsid w:val="009551C1"/>
    <w:rsid w:val="009A310F"/>
    <w:rsid w:val="009A737E"/>
    <w:rsid w:val="009F4738"/>
    <w:rsid w:val="00AA38E3"/>
    <w:rsid w:val="00AD71C7"/>
    <w:rsid w:val="00B20339"/>
    <w:rsid w:val="00C21108"/>
    <w:rsid w:val="00C5768E"/>
    <w:rsid w:val="00CB189B"/>
    <w:rsid w:val="00D21639"/>
    <w:rsid w:val="00D42389"/>
    <w:rsid w:val="00D42AB6"/>
    <w:rsid w:val="00D95B1E"/>
    <w:rsid w:val="00DA758B"/>
    <w:rsid w:val="00DD142E"/>
    <w:rsid w:val="00E20E45"/>
    <w:rsid w:val="00E67B01"/>
    <w:rsid w:val="00E74813"/>
    <w:rsid w:val="00EB2812"/>
    <w:rsid w:val="00F471B2"/>
    <w:rsid w:val="00F53413"/>
    <w:rsid w:val="00FA1286"/>
    <w:rsid w:val="014886F3"/>
    <w:rsid w:val="0151B5E8"/>
    <w:rsid w:val="06352073"/>
    <w:rsid w:val="08AB8B6A"/>
    <w:rsid w:val="08F64124"/>
    <w:rsid w:val="096CC135"/>
    <w:rsid w:val="0D1B0EFC"/>
    <w:rsid w:val="0D384EF3"/>
    <w:rsid w:val="0FAE9F95"/>
    <w:rsid w:val="1006A25B"/>
    <w:rsid w:val="12B2853A"/>
    <w:rsid w:val="1819A1C6"/>
    <w:rsid w:val="1A2ABF9C"/>
    <w:rsid w:val="1AA46EC2"/>
    <w:rsid w:val="1E8C0A78"/>
    <w:rsid w:val="23D1A1E2"/>
    <w:rsid w:val="240461DB"/>
    <w:rsid w:val="28372095"/>
    <w:rsid w:val="2BFE38E9"/>
    <w:rsid w:val="3146F781"/>
    <w:rsid w:val="31BD7F79"/>
    <w:rsid w:val="33594FDA"/>
    <w:rsid w:val="34094ACE"/>
    <w:rsid w:val="3624B2E1"/>
    <w:rsid w:val="38FFCBA2"/>
    <w:rsid w:val="3D7D6D1B"/>
    <w:rsid w:val="3E8AC7AA"/>
    <w:rsid w:val="3FECB5D0"/>
    <w:rsid w:val="40343C26"/>
    <w:rsid w:val="44749403"/>
    <w:rsid w:val="4695D98F"/>
    <w:rsid w:val="4C557DB4"/>
    <w:rsid w:val="4D4C0A40"/>
    <w:rsid w:val="54DD6CFF"/>
    <w:rsid w:val="57293854"/>
    <w:rsid w:val="57BE59C0"/>
    <w:rsid w:val="57DD5464"/>
    <w:rsid w:val="588EBCE7"/>
    <w:rsid w:val="5A6E033E"/>
    <w:rsid w:val="5B66A3B4"/>
    <w:rsid w:val="5DB8F748"/>
    <w:rsid w:val="5EDD80FB"/>
    <w:rsid w:val="62C94A96"/>
    <w:rsid w:val="62E272F3"/>
    <w:rsid w:val="63D95D14"/>
    <w:rsid w:val="6710FDD6"/>
    <w:rsid w:val="67E7778B"/>
    <w:rsid w:val="69422B8E"/>
    <w:rsid w:val="698B2773"/>
    <w:rsid w:val="6A2F763B"/>
    <w:rsid w:val="6BCB469C"/>
    <w:rsid w:val="6E3968E0"/>
    <w:rsid w:val="6E52EC6A"/>
    <w:rsid w:val="6EDF07E2"/>
    <w:rsid w:val="6F1C0FBB"/>
    <w:rsid w:val="72DF6E60"/>
    <w:rsid w:val="746994AB"/>
    <w:rsid w:val="7665EBD5"/>
    <w:rsid w:val="793D750D"/>
    <w:rsid w:val="79569D6A"/>
    <w:rsid w:val="7A5B9B34"/>
    <w:rsid w:val="7C5B7E33"/>
    <w:rsid w:val="7C8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3A84"/>
  <w15:chartTrackingRefBased/>
  <w15:docId w15:val="{5A4CB5D7-DF81-4D94-9B7C-2FA4F187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9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1944"/>
    <w:rPr>
      <w:b/>
      <w:bCs/>
    </w:rPr>
  </w:style>
  <w:style w:type="paragraph" w:styleId="ListParagraph">
    <w:name w:val="List Paragraph"/>
    <w:basedOn w:val="Normal"/>
    <w:uiPriority w:val="34"/>
    <w:qFormat/>
    <w:rsid w:val="00C57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86430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89760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7294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3334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99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2079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3809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529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3930520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18167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3884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00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155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25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9132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620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6543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09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7389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0170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30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3221557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61369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26601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362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541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779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356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522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2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62445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866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07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4068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814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0983709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90421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67497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2229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428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8534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033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633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3439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5123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059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04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591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257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227515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97759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6581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172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8389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204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81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117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82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24907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92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53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028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B724D230087429C4B03393D56ADB4" ma:contentTypeVersion="15" ma:contentTypeDescription="Create a new document." ma:contentTypeScope="" ma:versionID="82a2cdfce851a815f6849953c42455d1">
  <xsd:schema xmlns:xsd="http://www.w3.org/2001/XMLSchema" xmlns:xs="http://www.w3.org/2001/XMLSchema" xmlns:p="http://schemas.microsoft.com/office/2006/metadata/properties" xmlns:ns2="e134b095-318a-4114-bd02-a3349ecdb780" xmlns:ns3="8e1cb78b-b011-4af6-b79c-b1bdf241dd72" targetNamespace="http://schemas.microsoft.com/office/2006/metadata/properties" ma:root="true" ma:fieldsID="626e90c7a1ec107215ed45565d96a31c" ns2:_="" ns3:_="">
    <xsd:import namespace="e134b095-318a-4114-bd02-a3349ecdb780"/>
    <xsd:import namespace="8e1cb78b-b011-4af6-b79c-b1bdf241d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4b095-318a-4114-bd02-a3349ecdb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cb78b-b011-4af6-b79c-b1bdf241d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ad177f8-5673-492a-b8b0-ec45a2cce40a}" ma:internalName="TaxCatchAll" ma:showField="CatchAllData" ma:web="8e1cb78b-b011-4af6-b79c-b1bdf241d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cb78b-b011-4af6-b79c-b1bdf241dd72" xsi:nil="true"/>
    <lcf76f155ced4ddcb4097134ff3c332f xmlns="e134b095-318a-4114-bd02-a3349ecdb780">
      <Terms xmlns="http://schemas.microsoft.com/office/infopath/2007/PartnerControls"/>
    </lcf76f155ced4ddcb4097134ff3c332f>
    <SharedWithUsers xmlns="8e1cb78b-b011-4af6-b79c-b1bdf241dd7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3F7A42-BB42-43AC-AAE8-F0B229A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4b095-318a-4114-bd02-a3349ecdb780"/>
    <ds:schemaRef ds:uri="8e1cb78b-b011-4af6-b79c-b1bdf241d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CD0BB-4EBB-452C-BE11-74685A845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3B3CF-4C87-4F90-BFC8-8BE7D4BD6FD0}">
  <ds:schemaRefs>
    <ds:schemaRef ds:uri="http://schemas.microsoft.com/office/2006/metadata/properties"/>
    <ds:schemaRef ds:uri="http://schemas.microsoft.com/office/infopath/2007/PartnerControls"/>
    <ds:schemaRef ds:uri="8e1cb78b-b011-4af6-b79c-b1bdf241dd72"/>
    <ds:schemaRef ds:uri="e134b095-318a-4114-bd02-a3349ecdb7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Gowell</dc:creator>
  <keywords/>
  <dc:description/>
  <lastModifiedBy>Fiona Bourne</lastModifiedBy>
  <revision>6</revision>
  <dcterms:created xsi:type="dcterms:W3CDTF">2025-12-19T12:06:00.0000000Z</dcterms:created>
  <dcterms:modified xsi:type="dcterms:W3CDTF">2026-01-11T13:05:15.7691461Z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0x010100F78B724D230087429C4B03393D56ADB4</vt:lpwstr>
  </property>
  <property fmtid="{D5CDD505-2E9C-101B-9397-08002B2CF9AE}" pid="3" name="Order">
    <vt:r8>7700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