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3547" w:rsidRPr="00573547" w:rsidRDefault="00573547" w:rsidP="00573547">
      <w:pPr>
        <w:rPr>
          <w:b/>
        </w:rPr>
      </w:pPr>
      <w:r w:rsidRPr="00573547">
        <w:rPr>
          <w:b/>
        </w:rPr>
        <w:t>Intent</w:t>
      </w:r>
      <w:r>
        <w:rPr>
          <w:b/>
        </w:rPr>
        <w:t xml:space="preserve"> -</w:t>
      </w:r>
    </w:p>
    <w:p w:rsidR="00573547" w:rsidRDefault="00573547" w:rsidP="00573547">
      <w:r>
        <w:t>Our PE curriculum is designed so that every child—especially those with Social, Emotional and Mental Health (SEMH) needs—knows more, can do more, and feels more confident moving. We build progression through the three pillars of PE:</w:t>
      </w:r>
    </w:p>
    <w:p w:rsidR="00573547" w:rsidRDefault="00573547" w:rsidP="00573547"/>
    <w:p w:rsidR="00573547" w:rsidRDefault="00573547" w:rsidP="00573547">
      <w:r>
        <w:t>Motor Competence: Secure, fluent fundamental movement skills (locomotion, stability, manipulation) that develop into age-appropriate, activity</w:t>
      </w:r>
      <w:r>
        <w:rPr>
          <w:rFonts w:ascii="Cambria Math" w:hAnsi="Cambria Math" w:cs="Cambria Math"/>
        </w:rPr>
        <w:t>‑</w:t>
      </w:r>
      <w:r>
        <w:t>specific actions.</w:t>
      </w:r>
    </w:p>
    <w:p w:rsidR="00573547" w:rsidRDefault="00573547" w:rsidP="00573547">
      <w:r>
        <w:t>Rules, Strategies &amp; Tactics: Explicit teaching of game conventions and intelligent movement (decision</w:t>
      </w:r>
      <w:r>
        <w:rPr>
          <w:rFonts w:ascii="Cambria Math" w:hAnsi="Cambria Math" w:cs="Cambria Math"/>
        </w:rPr>
        <w:t>‑</w:t>
      </w:r>
      <w:r>
        <w:t xml:space="preserve">making about how/when/where to move) adapted for each child’s readiness. </w:t>
      </w:r>
    </w:p>
    <w:p w:rsidR="00573547" w:rsidRDefault="00573547" w:rsidP="00573547">
      <w:r>
        <w:t>Healthy Participation: Accurate knowledge to participate safely, enjoyably, and sustainably (e.g., warm</w:t>
      </w:r>
      <w:r>
        <w:rPr>
          <w:rFonts w:ascii="Cambria Math" w:hAnsi="Cambria Math" w:cs="Cambria Math"/>
        </w:rPr>
        <w:t>‑</w:t>
      </w:r>
      <w:r>
        <w:t>up/cool</w:t>
      </w:r>
      <w:r>
        <w:rPr>
          <w:rFonts w:ascii="Cambria Math" w:hAnsi="Cambria Math" w:cs="Cambria Math"/>
        </w:rPr>
        <w:t>‑</w:t>
      </w:r>
      <w:r>
        <w:t xml:space="preserve">down, hydration, effort management, hygiene), challenging misconceptions and fostering lifelong physical activity. </w:t>
      </w:r>
    </w:p>
    <w:p w:rsidR="00573547" w:rsidRDefault="00573547" w:rsidP="00573547"/>
    <w:p w:rsidR="00573547" w:rsidRDefault="00573547" w:rsidP="00573547">
      <w:r>
        <w:t xml:space="preserve">To maximise access for pupils with SEMH needs, we embed predictable routines, small steps of learning, high success rates, and scaffolding—the core of </w:t>
      </w:r>
      <w:proofErr w:type="spellStart"/>
      <w:r>
        <w:t>Rosenshine’s</w:t>
      </w:r>
      <w:proofErr w:type="spellEnd"/>
      <w:r>
        <w:t xml:space="preserve"> Principles of Instruction—so pupils experience psychological safety, regulation opportunities, and repeated success that builds motivation and self</w:t>
      </w:r>
      <w:r>
        <w:rPr>
          <w:rFonts w:ascii="Cambria Math" w:hAnsi="Cambria Math" w:cs="Cambria Math"/>
        </w:rPr>
        <w:t>‑</w:t>
      </w:r>
      <w:r>
        <w:t xml:space="preserve">efficacy. </w:t>
      </w:r>
    </w:p>
    <w:p w:rsidR="00573547" w:rsidRDefault="00573547" w:rsidP="00573547"/>
    <w:p w:rsidR="00573547" w:rsidRDefault="00573547" w:rsidP="00573547">
      <w:r>
        <w:t>Implementation</w:t>
      </w:r>
    </w:p>
    <w:p w:rsidR="00573547" w:rsidRDefault="00573547" w:rsidP="00573547">
      <w:r>
        <w:t>Curriculum &amp; Sequencing</w:t>
      </w:r>
    </w:p>
    <w:p w:rsidR="00573547" w:rsidRDefault="00573547" w:rsidP="00573547">
      <w:r>
        <w:t xml:space="preserve">Complete PE is used to help </w:t>
      </w:r>
      <w:r>
        <w:t>progression from fundamental movement skills (EYFS/KS1) to more complex, sport</w:t>
      </w:r>
      <w:r>
        <w:rPr>
          <w:rFonts w:ascii="Cambria Math" w:hAnsi="Cambria Math" w:cs="Cambria Math"/>
        </w:rPr>
        <w:t>‑</w:t>
      </w:r>
      <w:r>
        <w:t>specific applications (KS2), with clear knowledge and skill end</w:t>
      </w:r>
      <w:r>
        <w:rPr>
          <w:rFonts w:ascii="Cambria Math" w:hAnsi="Cambria Math" w:cs="Cambria Math"/>
        </w:rPr>
        <w:t>‑</w:t>
      </w:r>
      <w:r>
        <w:t>points within each pillar.</w:t>
      </w:r>
    </w:p>
    <w:p w:rsidR="00573547" w:rsidRDefault="00573547" w:rsidP="00573547">
      <w:r>
        <w:t xml:space="preserve">Every unit </w:t>
      </w:r>
      <w:r>
        <w:t xml:space="preserve">follows </w:t>
      </w:r>
      <w:r>
        <w:t xml:space="preserve">to the 3 pillars </w:t>
      </w:r>
      <w:r>
        <w:t xml:space="preserve">method </w:t>
      </w:r>
      <w:r>
        <w:t>(e.g., gymnastics: balance/transfer of weight → compositional rules/criteria → safe practice and self</w:t>
      </w:r>
      <w:r>
        <w:rPr>
          <w:rFonts w:ascii="Cambria Math" w:hAnsi="Cambria Math" w:cs="Cambria Math"/>
        </w:rPr>
        <w:t>‑</w:t>
      </w:r>
      <w:r>
        <w:t xml:space="preserve">care) and revisits knowledge through distributed practice and retrieval. </w:t>
      </w:r>
    </w:p>
    <w:p w:rsidR="00573547" w:rsidRDefault="00573547" w:rsidP="00573547"/>
    <w:p w:rsidR="00573547" w:rsidRDefault="00573547" w:rsidP="00573547">
      <w:proofErr w:type="spellStart"/>
      <w:r>
        <w:t>Rosenshine</w:t>
      </w:r>
      <w:proofErr w:type="spellEnd"/>
      <w:r>
        <w:rPr>
          <w:rFonts w:ascii="Cambria Math" w:hAnsi="Cambria Math" w:cs="Cambria Math"/>
        </w:rPr>
        <w:t>‑</w:t>
      </w:r>
      <w:r>
        <w:t>Aligned Pedagogy (in PE contexts)</w:t>
      </w:r>
    </w:p>
    <w:p w:rsidR="00573547" w:rsidRDefault="00573547" w:rsidP="00573547"/>
    <w:p w:rsidR="00573547" w:rsidRDefault="00573547" w:rsidP="00573547">
      <w:r>
        <w:t xml:space="preserve">Review (5–8 minutes): </w:t>
      </w:r>
      <w:r>
        <w:t>We lesson with a SWYK (</w:t>
      </w:r>
      <w:proofErr w:type="spellStart"/>
      <w:proofErr w:type="gramStart"/>
      <w:r>
        <w:t>show,what</w:t>
      </w:r>
      <w:proofErr w:type="gramEnd"/>
      <w:r>
        <w:t>,you,know</w:t>
      </w:r>
      <w:proofErr w:type="spellEnd"/>
      <w:r>
        <w:t>)</w:t>
      </w:r>
    </w:p>
    <w:p w:rsidR="00573547" w:rsidRDefault="00573547" w:rsidP="00573547">
      <w:r>
        <w:t xml:space="preserve">Breakdown skills into </w:t>
      </w:r>
      <w:r>
        <w:t xml:space="preserve">Small steps: isolate one movement component (e.g., “plant foot” in striking) before combining, to manage cognitive load and reduce frustration. </w:t>
      </w:r>
    </w:p>
    <w:p w:rsidR="00573547" w:rsidRDefault="00573547" w:rsidP="00573547">
      <w:r>
        <w:t>Explicit modelling &amp; worked examples: teacher demo + peer model + think</w:t>
      </w:r>
      <w:r>
        <w:rPr>
          <w:rFonts w:ascii="Cambria Math" w:hAnsi="Cambria Math" w:cs="Cambria Math"/>
        </w:rPr>
        <w:t>‑</w:t>
      </w:r>
      <w:proofErr w:type="spellStart"/>
      <w:r>
        <w:t>alouds</w:t>
      </w:r>
      <w:proofErr w:type="spellEnd"/>
      <w:r>
        <w:t xml:space="preserve"> for tactical choices (</w:t>
      </w:r>
      <w:r>
        <w:rPr>
          <w:rFonts w:ascii="Calibri" w:hAnsi="Calibri" w:cs="Calibri"/>
        </w:rPr>
        <w:t>“</w:t>
      </w:r>
      <w:r>
        <w:t>where</w:t>
      </w:r>
      <w:r>
        <w:rPr>
          <w:rFonts w:ascii="Calibri" w:hAnsi="Calibri" w:cs="Calibri"/>
        </w:rPr>
        <w:t>’</w:t>
      </w:r>
      <w:r>
        <w:t>s the space?</w:t>
      </w:r>
      <w:r>
        <w:rPr>
          <w:rFonts w:ascii="Calibri" w:hAnsi="Calibri" w:cs="Calibri"/>
        </w:rPr>
        <w:t>”</w:t>
      </w:r>
      <w:r>
        <w:t xml:space="preserve">). </w:t>
      </w:r>
    </w:p>
    <w:p w:rsidR="00573547" w:rsidRDefault="00573547" w:rsidP="00573547">
      <w:r>
        <w:t xml:space="preserve">Guided practice with scaffolds: equipment scaling (larger, lighter balls), task constraints (bigger targets, reduced opposition), visual cueing, and </w:t>
      </w:r>
      <w:r>
        <w:t xml:space="preserve">offer V+C (Voice and Choice) if as student is struggling to </w:t>
      </w:r>
      <w:proofErr w:type="spellStart"/>
      <w:r>
        <w:t>enage</w:t>
      </w:r>
      <w:proofErr w:type="spellEnd"/>
      <w:r>
        <w:t xml:space="preserve"> with an activity,</w:t>
      </w:r>
    </w:p>
    <w:p w:rsidR="00573547" w:rsidRDefault="00573547" w:rsidP="00573547">
      <w:r>
        <w:lastRenderedPageBreak/>
        <w:t>Frequent checks for understanding: non</w:t>
      </w:r>
      <w:r>
        <w:rPr>
          <w:rFonts w:ascii="Cambria Math" w:hAnsi="Cambria Math" w:cs="Cambria Math"/>
        </w:rPr>
        <w:t>‑</w:t>
      </w:r>
      <w:r>
        <w:t xml:space="preserve">verbal responses, quick rule quizzes, </w:t>
      </w:r>
      <w:r>
        <w:rPr>
          <w:rFonts w:ascii="Calibri" w:hAnsi="Calibri" w:cs="Calibri"/>
        </w:rPr>
        <w:t>“</w:t>
      </w:r>
      <w:r>
        <w:t>show me</w:t>
      </w:r>
      <w:r>
        <w:rPr>
          <w:rFonts w:ascii="Calibri" w:hAnsi="Calibri" w:cs="Calibri"/>
        </w:rPr>
        <w:t>”</w:t>
      </w:r>
      <w:r>
        <w:t xml:space="preserve"> technique checks, and decision</w:t>
      </w:r>
      <w:r>
        <w:rPr>
          <w:rFonts w:ascii="Cambria Math" w:hAnsi="Cambria Math" w:cs="Cambria Math"/>
        </w:rPr>
        <w:t>‑</w:t>
      </w:r>
      <w:r>
        <w:t>making questions to all pupils.</w:t>
      </w:r>
    </w:p>
    <w:p w:rsidR="00573547" w:rsidRDefault="00573547" w:rsidP="00573547">
      <w:r>
        <w:t>Independent practice &amp; overlearning: short, high</w:t>
      </w:r>
      <w:r>
        <w:rPr>
          <w:rFonts w:ascii="Cambria Math" w:hAnsi="Cambria Math" w:cs="Cambria Math"/>
        </w:rPr>
        <w:t>‑</w:t>
      </w:r>
      <w:r>
        <w:t>rep practice windows; spaced re</w:t>
      </w:r>
      <w:r>
        <w:rPr>
          <w:rFonts w:ascii="Cambria Math" w:hAnsi="Cambria Math" w:cs="Cambria Math"/>
        </w:rPr>
        <w:t>‑</w:t>
      </w:r>
      <w:r>
        <w:t>visits across the term; weekly/monthly reviews embedded in warm</w:t>
      </w:r>
      <w:r>
        <w:rPr>
          <w:rFonts w:ascii="Cambria Math" w:hAnsi="Cambria Math" w:cs="Cambria Math"/>
        </w:rPr>
        <w:t>‑</w:t>
      </w:r>
      <w:r>
        <w:t xml:space="preserve">ups. </w:t>
      </w:r>
    </w:p>
    <w:p w:rsidR="00573547" w:rsidRDefault="00573547" w:rsidP="00573547"/>
    <w:p w:rsidR="00573547" w:rsidRDefault="00573547" w:rsidP="00573547">
      <w:r>
        <w:t>SEMH</w:t>
      </w:r>
      <w:r>
        <w:rPr>
          <w:rFonts w:ascii="Cambria Math" w:hAnsi="Cambria Math" w:cs="Cambria Math"/>
        </w:rPr>
        <w:t>‑</w:t>
      </w:r>
      <w:r>
        <w:t>Informed Practice</w:t>
      </w:r>
    </w:p>
    <w:p w:rsidR="00573547" w:rsidRDefault="00573547" w:rsidP="00573547"/>
    <w:p w:rsidR="00573547" w:rsidRDefault="00573547" w:rsidP="00573547">
      <w:r>
        <w:t xml:space="preserve">Predictable lesson structure (arrive–regulate–review–teach–practise–reflect) with visual </w:t>
      </w:r>
      <w:r w:rsidR="00671677">
        <w:t xml:space="preserve">adds </w:t>
      </w:r>
      <w:r>
        <w:t xml:space="preserve">and clear success criteria to lower anxiety. (Structure aligns with </w:t>
      </w:r>
      <w:proofErr w:type="spellStart"/>
      <w:r>
        <w:t>Rosenshine’s</w:t>
      </w:r>
      <w:proofErr w:type="spellEnd"/>
      <w:r>
        <w:t xml:space="preserve"> routine of review → small steps → guided practice.) </w:t>
      </w:r>
    </w:p>
    <w:p w:rsidR="00573547" w:rsidRPr="00573547" w:rsidRDefault="00573547" w:rsidP="00573547">
      <w:r>
        <w:t xml:space="preserve">We also refer to the </w:t>
      </w:r>
      <w:r w:rsidRPr="00573547">
        <w:t xml:space="preserve">Scheme of Work: Primary SEMH PE Curriculum to informed planning for </w:t>
      </w:r>
      <w:r>
        <w:t>lessons</w:t>
      </w:r>
      <w:r w:rsidR="00671677">
        <w:t xml:space="preserve"> </w:t>
      </w:r>
      <w:r w:rsidRPr="00573547">
        <w:t>through</w:t>
      </w:r>
      <w:r w:rsidR="00671677">
        <w:t xml:space="preserve">out </w:t>
      </w:r>
      <w:r w:rsidRPr="00573547">
        <w:t>the academic year too</w:t>
      </w:r>
    </w:p>
    <w:p w:rsidR="00573547" w:rsidRDefault="00573547" w:rsidP="00573547">
      <w:r>
        <w:t xml:space="preserve">Emotion and sensory regulation: choice of roles (e.g., </w:t>
      </w:r>
      <w:proofErr w:type="spellStart"/>
      <w:r>
        <w:t>coach</w:t>
      </w:r>
      <w:r w:rsidR="00671677">
        <w:t>a</w:t>
      </w:r>
      <w:proofErr w:type="spellEnd"/>
      <w:r w:rsidR="00671677">
        <w:t xml:space="preserve"> </w:t>
      </w:r>
      <w:proofErr w:type="spellStart"/>
      <w:r w:rsidR="00671677">
        <w:t>nd</w:t>
      </w:r>
      <w:proofErr w:type="spellEnd"/>
      <w:r w:rsidR="00671677">
        <w:t xml:space="preserve"> </w:t>
      </w:r>
      <w:r>
        <w:t>performer), quiet zones, graduated exposure to competition, and co</w:t>
      </w:r>
      <w:r>
        <w:rPr>
          <w:rFonts w:ascii="Cambria Math" w:hAnsi="Cambria Math" w:cs="Cambria Math"/>
        </w:rPr>
        <w:t>‑</w:t>
      </w:r>
      <w:r>
        <w:t>regulated breathing in cool</w:t>
      </w:r>
      <w:r>
        <w:rPr>
          <w:rFonts w:ascii="Cambria Math" w:hAnsi="Cambria Math" w:cs="Cambria Math"/>
        </w:rPr>
        <w:t>‑</w:t>
      </w:r>
      <w:r>
        <w:t>downs</w:t>
      </w:r>
      <w:r>
        <w:rPr>
          <w:rFonts w:ascii="Calibri" w:hAnsi="Calibri" w:cs="Calibri"/>
        </w:rPr>
        <w:t>—</w:t>
      </w:r>
      <w:r>
        <w:t xml:space="preserve">ensuring inclusion within the healthy participation pillar. </w:t>
      </w:r>
    </w:p>
    <w:p w:rsidR="00573547" w:rsidRDefault="00573547" w:rsidP="00573547">
      <w:r>
        <w:t>Adaptive assessment: track progress across the pillars using pupil</w:t>
      </w:r>
      <w:r>
        <w:rPr>
          <w:rFonts w:ascii="Cambria Math" w:hAnsi="Cambria Math" w:cs="Cambria Math"/>
        </w:rPr>
        <w:t>‑</w:t>
      </w:r>
      <w:r>
        <w:t>friendly rubrics (movement quality, rule understanding/decision</w:t>
      </w:r>
      <w:r>
        <w:rPr>
          <w:rFonts w:ascii="Cambria Math" w:hAnsi="Cambria Math" w:cs="Cambria Math"/>
        </w:rPr>
        <w:t>‑</w:t>
      </w:r>
      <w:r>
        <w:t>making, safe/healthy habits), not just game outcomes</w:t>
      </w:r>
      <w:r>
        <w:t>.</w:t>
      </w:r>
    </w:p>
    <w:p w:rsidR="00573547" w:rsidRDefault="00573547" w:rsidP="00573547"/>
    <w:p w:rsidR="00573547" w:rsidRDefault="00573547" w:rsidP="00573547">
      <w:r>
        <w:t>Wider Offer</w:t>
      </w:r>
    </w:p>
    <w:p w:rsidR="00573547" w:rsidRDefault="00573547" w:rsidP="00573547">
      <w:r>
        <w:t>Active breaks and daily movement to reinforce motor competence; inclusive intra</w:t>
      </w:r>
      <w:r>
        <w:rPr>
          <w:rFonts w:ascii="Cambria Math" w:hAnsi="Cambria Math" w:cs="Cambria Math"/>
        </w:rPr>
        <w:t>‑</w:t>
      </w:r>
      <w:r>
        <w:t xml:space="preserve">school </w:t>
      </w:r>
      <w:r w:rsidR="00671677">
        <w:t>Football match for upper KS2</w:t>
      </w:r>
      <w:r>
        <w:t xml:space="preserve"> that</w:t>
      </w:r>
      <w:r w:rsidR="00671677">
        <w:t xml:space="preserve"> are design to help student experience playing team, each class in the attends swimming for at least one term and this year we have also visit a local Ice-skating-ring and your year 5 students have been taking part in some offsite Boulding session too. </w:t>
      </w:r>
    </w:p>
    <w:p w:rsidR="00573547" w:rsidRDefault="00573547" w:rsidP="00573547"/>
    <w:p w:rsidR="00573547" w:rsidRDefault="00573547" w:rsidP="00573547"/>
    <w:p w:rsidR="00573547" w:rsidRDefault="00573547" w:rsidP="00573547">
      <w:r>
        <w:t>Impact</w:t>
      </w:r>
    </w:p>
    <w:p w:rsidR="00573547" w:rsidRDefault="00573547" w:rsidP="00573547">
      <w:r>
        <w:t>By the end of each key stage, pupils—particularly those with SEMH needs—will:</w:t>
      </w:r>
    </w:p>
    <w:p w:rsidR="00573547" w:rsidRDefault="00573547" w:rsidP="00573547">
      <w:r>
        <w:t xml:space="preserve">Demonstrate secure motor competence across the core families of movement (locomotor, stability, manipulation) with improved fluency, control, and transfer to varied activities. </w:t>
      </w:r>
    </w:p>
    <w:p w:rsidR="00573547" w:rsidRDefault="00573547" w:rsidP="00573547">
      <w:r>
        <w:t>Apply rules, strategies, and tactics with growing independence: make simple game decisions, self</w:t>
      </w:r>
      <w:r>
        <w:rPr>
          <w:rFonts w:ascii="Cambria Math" w:hAnsi="Cambria Math" w:cs="Cambria Math"/>
        </w:rPr>
        <w:t>‑</w:t>
      </w:r>
      <w:r>
        <w:t xml:space="preserve">officiate core conventions, and adjust movement choices based on space, time, and task. </w:t>
      </w:r>
    </w:p>
    <w:p w:rsidR="00573547" w:rsidRDefault="00573547" w:rsidP="00573547">
      <w:r>
        <w:t>Participate healthily and safely, articulating why and how to warm up/cool down, manage effort, hydrate, and seek support—building habits that promote lifelong physical activity and wellbeing.</w:t>
      </w:r>
    </w:p>
    <w:p w:rsidR="00573547" w:rsidRDefault="00573547" w:rsidP="00573547">
      <w:r>
        <w:t>Experience high success and positive self</w:t>
      </w:r>
      <w:r>
        <w:rPr>
          <w:rFonts w:ascii="Cambria Math" w:hAnsi="Cambria Math" w:cs="Cambria Math"/>
        </w:rPr>
        <w:t>‑</w:t>
      </w:r>
      <w:r>
        <w:t xml:space="preserve">efficacy in PE through </w:t>
      </w:r>
      <w:proofErr w:type="spellStart"/>
      <w:r>
        <w:t>Rosenshine</w:t>
      </w:r>
      <w:proofErr w:type="spellEnd"/>
      <w:r>
        <w:rPr>
          <w:rFonts w:ascii="Cambria Math" w:hAnsi="Cambria Math" w:cs="Cambria Math"/>
        </w:rPr>
        <w:t>‑</w:t>
      </w:r>
      <w:r>
        <w:t>aligned teaching (clear explanations, high</w:t>
      </w:r>
      <w:r>
        <w:rPr>
          <w:rFonts w:ascii="Cambria Math" w:hAnsi="Cambria Math" w:cs="Cambria Math"/>
        </w:rPr>
        <w:t>‑</w:t>
      </w:r>
      <w:r>
        <w:t>frequency practice, scaffolding, and retrieval), leading to stronger engagement, regulation, and attendance in PE</w:t>
      </w:r>
      <w:r w:rsidR="00671677">
        <w:t xml:space="preserve"> when they move onto secondary physical education</w:t>
      </w:r>
    </w:p>
    <w:p w:rsidR="00573547" w:rsidRDefault="00573547" w:rsidP="00573547"/>
    <w:p w:rsidR="00663A58" w:rsidRDefault="00573547" w:rsidP="00573547">
      <w:r>
        <w:lastRenderedPageBreak/>
        <w:t>We will evidence impact through: lesson observation</w:t>
      </w:r>
      <w:r w:rsidR="00671677">
        <w:t>s</w:t>
      </w:r>
      <w:r>
        <w:t>; pupil voice on belonging and confidence in PE; pillar</w:t>
      </w:r>
      <w:r>
        <w:rPr>
          <w:rFonts w:ascii="Cambria Math" w:hAnsi="Cambria Math" w:cs="Cambria Math"/>
        </w:rPr>
        <w:t>‑</w:t>
      </w:r>
      <w:r>
        <w:t>aligned assessment records; participation</w:t>
      </w:r>
      <w:r w:rsidR="00671677">
        <w:t xml:space="preserve"> and </w:t>
      </w:r>
      <w:r>
        <w:t>attendance data</w:t>
      </w:r>
      <w:r w:rsidR="00671677">
        <w:t xml:space="preserve"> too.</w:t>
      </w:r>
      <w:bookmarkStart w:id="0" w:name="_GoBack"/>
      <w:bookmarkEnd w:id="0"/>
    </w:p>
    <w:sectPr w:rsidR="00663A5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547"/>
    <w:rsid w:val="00573547"/>
    <w:rsid w:val="00663A58"/>
    <w:rsid w:val="006716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154C0"/>
  <w15:chartTrackingRefBased/>
  <w15:docId w15:val="{D9211F8C-63F5-4D32-AE20-B4C73B549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718</Words>
  <Characters>4093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 Rodziewicz</dc:creator>
  <cp:keywords/>
  <dc:description/>
  <cp:lastModifiedBy>Louis Rodziewicz</cp:lastModifiedBy>
  <cp:revision>1</cp:revision>
  <dcterms:created xsi:type="dcterms:W3CDTF">2026-02-03T14:39:00Z</dcterms:created>
  <dcterms:modified xsi:type="dcterms:W3CDTF">2026-02-03T14:58:00Z</dcterms:modified>
</cp:coreProperties>
</file>